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9E3B06" w14:textId="77777777" w:rsidR="008762AE" w:rsidRDefault="001673E7">
      <w:pPr>
        <w:pStyle w:val="Ttulo2"/>
        <w:jc w:val="center"/>
        <w:rPr>
          <w:rFonts w:ascii="Arial" w:eastAsia="Arial" w:hAnsi="Arial" w:cs="Arial"/>
          <w:b/>
          <w:bCs/>
          <w:color w:val="000000"/>
          <w:sz w:val="22"/>
          <w:szCs w:val="22"/>
          <w:highlight w:val="white"/>
        </w:rPr>
      </w:pPr>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044B4354" w14:textId="77777777" w:rsidR="008762AE" w:rsidRDefault="008762AE">
      <w:pPr>
        <w:jc w:val="center"/>
        <w:rPr>
          <w:rFonts w:ascii="Arial" w:eastAsia="Arial" w:hAnsi="Arial" w:cs="Arial"/>
          <w:sz w:val="22"/>
          <w:szCs w:val="22"/>
          <w:highlight w:val="white"/>
        </w:rPr>
      </w:pPr>
      <w:bookmarkStart w:id="0" w:name="_heading=h.tziib8mju948" w:colFirst="0" w:colLast="0"/>
      <w:bookmarkEnd w:id="0"/>
    </w:p>
    <w:p w14:paraId="5662A171" w14:textId="77777777" w:rsidR="008762AE" w:rsidRDefault="001673E7">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20D8412C" w14:textId="77777777" w:rsidR="008762AE" w:rsidRDefault="008762AE">
      <w:pPr>
        <w:jc w:val="center"/>
        <w:rPr>
          <w:rFonts w:ascii="Arial" w:eastAsia="Arial" w:hAnsi="Arial" w:cs="Arial"/>
          <w:sz w:val="22"/>
          <w:szCs w:val="22"/>
          <w:highlight w:val="white"/>
        </w:rPr>
      </w:pPr>
    </w:p>
    <w:p w14:paraId="2348F5A6" w14:textId="77777777" w:rsidR="008762AE" w:rsidRDefault="001673E7">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4104B1C7" w14:textId="77777777" w:rsidR="008762AE" w:rsidRDefault="008762AE">
      <w:pPr>
        <w:jc w:val="both"/>
        <w:rPr>
          <w:rFonts w:ascii="Arial" w:eastAsia="Arial" w:hAnsi="Arial" w:cs="Arial"/>
          <w:sz w:val="22"/>
          <w:szCs w:val="22"/>
        </w:rPr>
      </w:pPr>
      <w:bookmarkStart w:id="1" w:name="_heading=h.vmq5jlsylcjh" w:colFirst="0" w:colLast="0"/>
      <w:bookmarkEnd w:id="1"/>
    </w:p>
    <w:p w14:paraId="6C24FC47" w14:textId="77777777" w:rsidR="008762AE" w:rsidRDefault="001673E7">
      <w:pPr>
        <w:widowControl w:val="0"/>
        <w:pBdr>
          <w:top w:val="nil"/>
          <w:left w:val="nil"/>
          <w:bottom w:val="nil"/>
          <w:right w:val="nil"/>
          <w:between w:val="nil"/>
        </w:pBdr>
        <w:jc w:val="both"/>
        <w:rPr>
          <w:rFonts w:ascii="Arial" w:eastAsia="Arial" w:hAnsi="Arial" w:cs="Arial"/>
          <w:color w:val="FF9900"/>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CRISTIAN PLAZA BARACALDO en calidad de propietario del apartamento 1101 torre 3 del proyecto de vivienda CONJUNTO RESIDENCIAL CAMINO DE TORCA - PROPIEDAD HORIZONTAL, ubicado en la carrera 19 No. 183-51 de Bogotá, por las presuntas irregularidades existentes en las zonas privadas del mencionado inmueble, contra la sociedad enajenadora </w:t>
      </w:r>
      <w:r>
        <w:rPr>
          <w:rFonts w:ascii="Arial" w:eastAsia="Arial" w:hAnsi="Arial" w:cs="Arial"/>
          <w:sz w:val="22"/>
          <w:szCs w:val="22"/>
          <w:highlight w:val="white"/>
        </w:rPr>
        <w:t>SUPREMA CONSTRUCTORA S.A.S,</w:t>
      </w:r>
      <w:r>
        <w:rPr>
          <w:rFonts w:ascii="Arial" w:eastAsia="Arial" w:hAnsi="Arial" w:cs="Arial"/>
          <w:sz w:val="22"/>
          <w:szCs w:val="22"/>
        </w:rPr>
        <w:t xml:space="preserve"> identificada con NIT. </w:t>
      </w:r>
      <w:r>
        <w:rPr>
          <w:rFonts w:ascii="Arial" w:eastAsia="Arial" w:hAnsi="Arial" w:cs="Arial"/>
          <w:sz w:val="22"/>
          <w:szCs w:val="22"/>
          <w:highlight w:val="white"/>
        </w:rPr>
        <w:t>900.239.552-6</w:t>
      </w:r>
      <w:r>
        <w:rPr>
          <w:rFonts w:ascii="Arial" w:eastAsia="Arial" w:hAnsi="Arial" w:cs="Arial"/>
          <w:sz w:val="22"/>
          <w:szCs w:val="22"/>
        </w:rPr>
        <w:t>, representada legalmente por el señor JUAN MANUEL GOMEZ ROLDÁN (o quien haga sus veces), actuación a la que le correspondió el radicado 1-2022-18348.</w:t>
      </w:r>
    </w:p>
    <w:p w14:paraId="61EF1997" w14:textId="77777777" w:rsidR="008762AE" w:rsidRDefault="008762AE">
      <w:pPr>
        <w:widowControl w:val="0"/>
        <w:pBdr>
          <w:top w:val="nil"/>
          <w:left w:val="nil"/>
          <w:bottom w:val="nil"/>
          <w:right w:val="nil"/>
          <w:between w:val="nil"/>
        </w:pBdr>
        <w:jc w:val="both"/>
        <w:rPr>
          <w:rFonts w:ascii="Arial" w:eastAsia="Arial" w:hAnsi="Arial" w:cs="Arial"/>
          <w:sz w:val="22"/>
          <w:szCs w:val="22"/>
        </w:rPr>
      </w:pPr>
    </w:p>
    <w:p w14:paraId="2CB5A1FA" w14:textId="3CA79E5C" w:rsidR="008762AE" w:rsidRDefault="001673E7">
      <w:pPr>
        <w:widowControl w:val="0"/>
        <w:pBdr>
          <w:top w:val="nil"/>
          <w:left w:val="nil"/>
          <w:bottom w:val="nil"/>
          <w:right w:val="nil"/>
          <w:between w:val="nil"/>
        </w:pBdr>
        <w:jc w:val="both"/>
        <w:rPr>
          <w:rFonts w:ascii="Arial" w:eastAsia="Arial" w:hAnsi="Arial" w:cs="Arial"/>
          <w:sz w:val="22"/>
          <w:szCs w:val="22"/>
        </w:rPr>
      </w:pPr>
      <w:bookmarkStart w:id="2" w:name="_heading=h.3znysh7" w:colFirst="0" w:colLast="0"/>
      <w:bookmarkEnd w:id="2"/>
      <w:r>
        <w:rPr>
          <w:rFonts w:ascii="Arial" w:eastAsia="Arial" w:hAnsi="Arial" w:cs="Arial"/>
          <w:sz w:val="22"/>
          <w:szCs w:val="22"/>
        </w:rPr>
        <w:t>Que, una vez surtidas las actuaciones procesales pertinentes, esta Dirección, mediante Resolución No. 2484 del 24 de octubre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Pr>
          <w:rFonts w:ascii="Arial" w:eastAsia="Arial" w:hAnsi="Arial" w:cs="Arial"/>
          <w:sz w:val="22"/>
          <w:szCs w:val="22"/>
          <w:highlight w:val="white"/>
        </w:rPr>
        <w:t>SUPREMA CONSTRUCTORA S.A.S, identificada con NIT. 900.239.552-6, representada legalmente por el señor JUAN MANUEL GOMEZ ROLDÁN (o quien haga sus veces),</w:t>
      </w:r>
      <w:r>
        <w:rPr>
          <w:rFonts w:ascii="Arial" w:eastAsia="Arial" w:hAnsi="Arial" w:cs="Arial"/>
          <w:sz w:val="22"/>
          <w:szCs w:val="22"/>
        </w:rPr>
        <w:t xml:space="preserve"> con la suma de TREINTA Y SIETE MIL PESOS ($37.000) M/CTE, que corresponden a SIETE MILLONES DOSCIENTOS SESENTA MIL CUARENTA Y TRES PESOS ($7.260.043) M/CTE.</w:t>
      </w:r>
    </w:p>
    <w:p w14:paraId="4F13D1C8" w14:textId="77777777" w:rsidR="008762AE" w:rsidRDefault="008762AE">
      <w:pPr>
        <w:widowControl w:val="0"/>
        <w:pBdr>
          <w:top w:val="nil"/>
          <w:left w:val="nil"/>
          <w:bottom w:val="nil"/>
          <w:right w:val="nil"/>
          <w:between w:val="nil"/>
        </w:pBdr>
        <w:jc w:val="both"/>
        <w:rPr>
          <w:rFonts w:ascii="Arial" w:eastAsia="Arial" w:hAnsi="Arial" w:cs="Arial"/>
          <w:sz w:val="22"/>
          <w:szCs w:val="22"/>
        </w:rPr>
      </w:pPr>
      <w:bookmarkStart w:id="3" w:name="_heading=h.1jd80eymxi61" w:colFirst="0" w:colLast="0"/>
      <w:bookmarkEnd w:id="3"/>
    </w:p>
    <w:p w14:paraId="4663B6F4" w14:textId="77777777" w:rsidR="008762AE" w:rsidRDefault="001673E7">
      <w:pPr>
        <w:widowControl w:val="0"/>
        <w:pBdr>
          <w:top w:val="nil"/>
          <w:left w:val="nil"/>
          <w:bottom w:val="nil"/>
          <w:right w:val="nil"/>
          <w:between w:val="nil"/>
        </w:pBdr>
        <w:jc w:val="both"/>
        <w:rPr>
          <w:rFonts w:ascii="Arial" w:eastAsia="Arial" w:hAnsi="Arial" w:cs="Arial"/>
          <w:sz w:val="22"/>
          <w:szCs w:val="22"/>
        </w:rPr>
      </w:pPr>
      <w:bookmarkStart w:id="4" w:name="_heading=h.4m4q6b1tjgvg" w:colFirst="0" w:colLast="0"/>
      <w:bookmarkEnd w:id="4"/>
      <w:r>
        <w:rPr>
          <w:rFonts w:ascii="Arial" w:eastAsia="Arial" w:hAnsi="Arial" w:cs="Arial"/>
          <w:sz w:val="22"/>
          <w:szCs w:val="22"/>
        </w:rPr>
        <w:t>Que, en los artículos segundo, tercero y cuarto de la Resolución No. 2484 del 24 de octubre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7A6E8B8C" w14:textId="77777777" w:rsidR="008762AE" w:rsidRDefault="008762AE">
      <w:pPr>
        <w:widowControl w:val="0"/>
        <w:pBdr>
          <w:top w:val="nil"/>
          <w:left w:val="nil"/>
          <w:bottom w:val="nil"/>
          <w:right w:val="nil"/>
          <w:between w:val="nil"/>
        </w:pBdr>
        <w:jc w:val="both"/>
        <w:rPr>
          <w:rFonts w:ascii="Arial" w:eastAsia="Arial" w:hAnsi="Arial" w:cs="Arial"/>
          <w:sz w:val="22"/>
          <w:szCs w:val="22"/>
        </w:rPr>
      </w:pPr>
      <w:bookmarkStart w:id="5" w:name="_heading=h.b8korpyp0hjy" w:colFirst="0" w:colLast="0"/>
      <w:bookmarkEnd w:id="5"/>
    </w:p>
    <w:p w14:paraId="756C7A0A" w14:textId="77777777" w:rsidR="008762AE" w:rsidRDefault="001673E7" w:rsidP="001B0860">
      <w:pPr>
        <w:ind w:left="680" w:right="-93"/>
        <w:jc w:val="both"/>
        <w:rPr>
          <w:rFonts w:ascii="Arial" w:eastAsia="Arial" w:hAnsi="Arial" w:cs="Arial"/>
          <w:i/>
          <w:iCs/>
          <w:sz w:val="22"/>
          <w:szCs w:val="22"/>
        </w:rPr>
      </w:pPr>
      <w:r>
        <w:rPr>
          <w:rFonts w:ascii="Arial" w:eastAsia="Arial" w:hAnsi="Arial" w:cs="Arial"/>
          <w:b/>
          <w:bCs/>
          <w:i/>
          <w:iCs/>
          <w:sz w:val="22"/>
          <w:szCs w:val="22"/>
        </w:rPr>
        <w:t xml:space="preserve">ARTÍCULO SEGUNDO: </w:t>
      </w:r>
      <w:r>
        <w:rPr>
          <w:rFonts w:ascii="Arial" w:eastAsia="Arial" w:hAnsi="Arial" w:cs="Arial"/>
          <w:i/>
          <w:iCs/>
          <w:sz w:val="22"/>
          <w:szCs w:val="22"/>
        </w:rPr>
        <w:t xml:space="preserve">Requerir a la sociedad </w:t>
      </w:r>
      <w:r>
        <w:rPr>
          <w:rFonts w:ascii="Arial" w:eastAsia="Arial" w:hAnsi="Arial" w:cs="Arial"/>
          <w:b/>
          <w:bCs/>
          <w:i/>
          <w:iCs/>
          <w:sz w:val="22"/>
          <w:szCs w:val="22"/>
        </w:rPr>
        <w:t>SUPREMA CONSTRUCTORA S.A.S.</w:t>
      </w:r>
      <w:r>
        <w:rPr>
          <w:rFonts w:ascii="Arial" w:eastAsia="Arial" w:hAnsi="Arial" w:cs="Arial"/>
          <w:i/>
          <w:iCs/>
          <w:sz w:val="22"/>
          <w:szCs w:val="22"/>
        </w:rPr>
        <w:t xml:space="preserve">, identificada con NIT. </w:t>
      </w:r>
      <w:r>
        <w:rPr>
          <w:rFonts w:ascii="Arial" w:eastAsia="Arial" w:hAnsi="Arial" w:cs="Arial"/>
          <w:b/>
          <w:bCs/>
          <w:i/>
          <w:iCs/>
          <w:sz w:val="22"/>
          <w:szCs w:val="22"/>
        </w:rPr>
        <w:t>900.239.552-6</w:t>
      </w:r>
      <w:r>
        <w:rPr>
          <w:rFonts w:ascii="Arial" w:eastAsia="Arial" w:hAnsi="Arial" w:cs="Arial"/>
          <w:i/>
          <w:iCs/>
          <w:sz w:val="22"/>
          <w:szCs w:val="22"/>
        </w:rPr>
        <w:t xml:space="preserve">, representada legalmente por el señor </w:t>
      </w:r>
      <w:r>
        <w:rPr>
          <w:rFonts w:ascii="Arial" w:eastAsia="Arial" w:hAnsi="Arial" w:cs="Arial"/>
          <w:b/>
          <w:bCs/>
          <w:i/>
          <w:iCs/>
          <w:sz w:val="22"/>
          <w:szCs w:val="22"/>
        </w:rPr>
        <w:t>JUAN MANUEL GÓMEZ ROLDAN</w:t>
      </w:r>
      <w:r>
        <w:rPr>
          <w:rFonts w:ascii="Arial" w:eastAsia="Arial" w:hAnsi="Arial" w:cs="Arial"/>
          <w:i/>
          <w:iCs/>
          <w:sz w:val="22"/>
          <w:szCs w:val="22"/>
        </w:rPr>
        <w:t xml:space="preserve"> (o quien haga sus veces), para que dentro del término de </w:t>
      </w:r>
      <w:r>
        <w:rPr>
          <w:rFonts w:ascii="Arial" w:eastAsia="Arial" w:hAnsi="Arial" w:cs="Arial"/>
          <w:b/>
          <w:bCs/>
          <w:i/>
          <w:iCs/>
          <w:sz w:val="22"/>
          <w:szCs w:val="22"/>
        </w:rPr>
        <w:t>SIETE (7) meses</w:t>
      </w:r>
      <w:r>
        <w:rPr>
          <w:rFonts w:ascii="Arial" w:eastAsia="Arial" w:hAnsi="Arial" w:cs="Arial"/>
          <w:i/>
          <w:iCs/>
          <w:sz w:val="22"/>
          <w:szCs w:val="22"/>
        </w:rPr>
        <w:t xml:space="preserve"> (calendario) siguientes a la ejecutoria del presente acto administrativo se acoja a la normatividad infringida, para lo cual deberá realizar los trabajos tendientes a solucionar en forma definitiva el hecho que afecta las áreas privadas del apartamento 1101 torre 3 del proyecto </w:t>
      </w:r>
      <w:r>
        <w:rPr>
          <w:rFonts w:ascii="Arial" w:eastAsia="Arial" w:hAnsi="Arial" w:cs="Arial"/>
          <w:b/>
          <w:bCs/>
          <w:i/>
          <w:iCs/>
          <w:sz w:val="22"/>
          <w:szCs w:val="22"/>
        </w:rPr>
        <w:t>CONJUNTO RESIDENCIAL CAMINO DE TORCA - PROPIEDAD HORIZONTAL</w:t>
      </w:r>
      <w:r>
        <w:rPr>
          <w:rFonts w:ascii="Arial" w:eastAsia="Arial" w:hAnsi="Arial" w:cs="Arial"/>
          <w:i/>
          <w:iCs/>
          <w:sz w:val="22"/>
          <w:szCs w:val="22"/>
        </w:rPr>
        <w:t>, consistente en: "</w:t>
      </w:r>
      <w:r>
        <w:rPr>
          <w:rFonts w:ascii="Arial" w:eastAsia="Arial" w:hAnsi="Arial" w:cs="Arial"/>
          <w:b/>
          <w:bCs/>
          <w:i/>
          <w:iCs/>
          <w:sz w:val="22"/>
          <w:szCs w:val="22"/>
        </w:rPr>
        <w:t xml:space="preserve">3. Humedades y fisuras en el techo de entrada principal, cocina, zona de ropas, sala, comedor, </w:t>
      </w:r>
      <w:r>
        <w:rPr>
          <w:rFonts w:ascii="Arial" w:eastAsia="Arial" w:hAnsi="Arial" w:cs="Arial"/>
          <w:b/>
          <w:bCs/>
          <w:i/>
          <w:iCs/>
          <w:sz w:val="22"/>
          <w:szCs w:val="22"/>
        </w:rPr>
        <w:lastRenderedPageBreak/>
        <w:t>alcoba 2, estudio, alcoba principal y baño alcoba principal</w:t>
      </w:r>
      <w:r>
        <w:rPr>
          <w:rFonts w:ascii="Arial" w:eastAsia="Arial" w:hAnsi="Arial" w:cs="Arial"/>
          <w:i/>
          <w:iCs/>
          <w:sz w:val="22"/>
          <w:szCs w:val="22"/>
        </w:rPr>
        <w:t>". que constituye una deficiencia constructiva calificada como afectación grave, conforme lo especificado en el informe de Verificación de Hechos No. 22-604 del 26 de octubre de 2022 (folio 13-15). Lo anterior, en el evento de que dicho hecho no haya sido subsanado de forma total y definitiva al momento de la expedición de la presente Resolución.</w:t>
      </w:r>
    </w:p>
    <w:p w14:paraId="5D92B643" w14:textId="77777777" w:rsidR="008762AE" w:rsidRDefault="008762AE" w:rsidP="001B0860">
      <w:pPr>
        <w:ind w:left="680" w:right="-93"/>
        <w:jc w:val="both"/>
        <w:rPr>
          <w:rFonts w:ascii="Arial" w:eastAsia="Arial" w:hAnsi="Arial" w:cs="Arial"/>
          <w:i/>
          <w:iCs/>
          <w:sz w:val="22"/>
          <w:szCs w:val="22"/>
        </w:rPr>
      </w:pPr>
    </w:p>
    <w:p w14:paraId="60670014" w14:textId="77777777" w:rsidR="008762AE" w:rsidRDefault="001673E7" w:rsidP="001B0860">
      <w:pPr>
        <w:ind w:left="680" w:right="-93"/>
        <w:jc w:val="both"/>
        <w:rPr>
          <w:rFonts w:ascii="Arial" w:eastAsia="Arial" w:hAnsi="Arial" w:cs="Arial"/>
          <w:i/>
          <w:iCs/>
          <w:sz w:val="22"/>
          <w:szCs w:val="22"/>
        </w:rPr>
      </w:pPr>
      <w:r>
        <w:rPr>
          <w:rFonts w:ascii="Arial" w:eastAsia="Arial" w:hAnsi="Arial" w:cs="Arial"/>
          <w:b/>
          <w:bCs/>
          <w:i/>
          <w:iCs/>
          <w:sz w:val="22"/>
          <w:szCs w:val="22"/>
        </w:rPr>
        <w:t xml:space="preserve">ARTÍCULO TERCERO: </w:t>
      </w:r>
      <w:r>
        <w:rPr>
          <w:rFonts w:ascii="Arial" w:eastAsia="Arial" w:hAnsi="Arial" w:cs="Arial"/>
          <w:i/>
          <w:iCs/>
          <w:sz w:val="22"/>
          <w:szCs w:val="22"/>
        </w:rPr>
        <w:t xml:space="preserve">Ordenar a la sociedad </w:t>
      </w:r>
      <w:r>
        <w:rPr>
          <w:rFonts w:ascii="Arial" w:eastAsia="Arial" w:hAnsi="Arial" w:cs="Arial"/>
          <w:b/>
          <w:bCs/>
          <w:i/>
          <w:iCs/>
          <w:sz w:val="22"/>
          <w:szCs w:val="22"/>
        </w:rPr>
        <w:t>SUPREMA CONSTRUCTORA S.A.S.</w:t>
      </w:r>
      <w:r>
        <w:rPr>
          <w:rFonts w:ascii="Arial" w:eastAsia="Arial" w:hAnsi="Arial" w:cs="Arial"/>
          <w:i/>
          <w:iCs/>
          <w:sz w:val="22"/>
          <w:szCs w:val="22"/>
        </w:rPr>
        <w:t xml:space="preserve">, identificada con NIT. </w:t>
      </w:r>
      <w:r>
        <w:rPr>
          <w:rFonts w:ascii="Arial" w:eastAsia="Arial" w:hAnsi="Arial" w:cs="Arial"/>
          <w:b/>
          <w:bCs/>
          <w:i/>
          <w:iCs/>
          <w:sz w:val="22"/>
          <w:szCs w:val="22"/>
        </w:rPr>
        <w:t>900.239.552-6</w:t>
      </w:r>
      <w:r>
        <w:rPr>
          <w:rFonts w:ascii="Arial" w:eastAsia="Arial" w:hAnsi="Arial" w:cs="Arial"/>
          <w:i/>
          <w:iCs/>
          <w:sz w:val="22"/>
          <w:szCs w:val="22"/>
        </w:rPr>
        <w:t xml:space="preserve">, representada legalmente por el señor </w:t>
      </w:r>
      <w:r>
        <w:rPr>
          <w:rFonts w:ascii="Arial" w:eastAsia="Arial" w:hAnsi="Arial" w:cs="Arial"/>
          <w:b/>
          <w:bCs/>
          <w:i/>
          <w:iCs/>
          <w:sz w:val="22"/>
          <w:szCs w:val="22"/>
        </w:rPr>
        <w:t>JUAN MANUEL GÓMEZ ROLDAN</w:t>
      </w:r>
      <w:r>
        <w:rPr>
          <w:rFonts w:ascii="Arial" w:eastAsia="Arial" w:hAnsi="Arial" w:cs="Arial"/>
          <w:i/>
          <w:iCs/>
          <w:sz w:val="22"/>
          <w:szCs w:val="22"/>
        </w:rPr>
        <w:t xml:space="preserve"> (o quien haga sus veces), para que dentro de los diez (10) días (hábiles) siguientes al cumplimiento del término otorgado en el artículo anterior, acredite ante este Despacho la realización de las labores de corrección sobre los citados hechos.</w:t>
      </w:r>
    </w:p>
    <w:p w14:paraId="6A7AF400" w14:textId="77777777" w:rsidR="008762AE" w:rsidRDefault="008762AE" w:rsidP="001B0860">
      <w:pPr>
        <w:ind w:left="680" w:right="-93"/>
        <w:jc w:val="both"/>
        <w:rPr>
          <w:rFonts w:ascii="Arial" w:eastAsia="Arial" w:hAnsi="Arial" w:cs="Arial"/>
          <w:i/>
          <w:iCs/>
          <w:sz w:val="22"/>
          <w:szCs w:val="22"/>
        </w:rPr>
      </w:pPr>
    </w:p>
    <w:p w14:paraId="09EFA40E" w14:textId="77777777" w:rsidR="008762AE" w:rsidRDefault="001673E7" w:rsidP="001B0860">
      <w:pPr>
        <w:ind w:left="680" w:right="-93"/>
        <w:jc w:val="both"/>
        <w:rPr>
          <w:rFonts w:ascii="Arial" w:eastAsia="Arial" w:hAnsi="Arial" w:cs="Arial"/>
          <w:i/>
          <w:iCs/>
          <w:sz w:val="22"/>
          <w:szCs w:val="22"/>
        </w:rPr>
      </w:pPr>
      <w:r>
        <w:rPr>
          <w:rFonts w:ascii="Arial" w:eastAsia="Arial" w:hAnsi="Arial" w:cs="Arial"/>
          <w:b/>
          <w:bCs/>
          <w:i/>
          <w:iCs/>
          <w:sz w:val="22"/>
          <w:szCs w:val="22"/>
        </w:rPr>
        <w:t xml:space="preserve">ARTÍCULO CUARTO: </w:t>
      </w:r>
      <w:r>
        <w:rPr>
          <w:rFonts w:ascii="Arial" w:eastAsia="Arial" w:hAnsi="Arial" w:cs="Arial"/>
          <w:i/>
          <w:iCs/>
          <w:sz w:val="22"/>
          <w:szCs w:val="22"/>
        </w:rPr>
        <w:t>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497570D2" w14:textId="77777777" w:rsidR="008762AE" w:rsidRDefault="008762AE">
      <w:pPr>
        <w:ind w:right="-92"/>
        <w:jc w:val="both"/>
        <w:rPr>
          <w:rFonts w:ascii="Arial" w:eastAsia="Arial" w:hAnsi="Arial" w:cs="Arial"/>
          <w:i/>
          <w:iCs/>
          <w:sz w:val="22"/>
          <w:szCs w:val="22"/>
        </w:rPr>
      </w:pPr>
    </w:p>
    <w:p w14:paraId="397609EC" w14:textId="77777777" w:rsidR="008762AE" w:rsidRDefault="001673E7">
      <w:pPr>
        <w:ind w:right="-92"/>
        <w:jc w:val="both"/>
        <w:rPr>
          <w:rFonts w:ascii="Arial" w:eastAsia="Arial" w:hAnsi="Arial" w:cs="Arial"/>
          <w:sz w:val="22"/>
          <w:szCs w:val="22"/>
        </w:rPr>
      </w:pPr>
      <w:r>
        <w:rPr>
          <w:rFonts w:ascii="Arial" w:eastAsia="Arial" w:hAnsi="Arial" w:cs="Arial"/>
          <w:sz w:val="22"/>
          <w:szCs w:val="22"/>
        </w:rPr>
        <w:t xml:space="preserve">Que, una vez notificado el precitado acto administrativo, mediante radicado 1-2023-47446 del 29 de noviembre de 2023, la sociedad enajenadora </w:t>
      </w:r>
      <w:r>
        <w:rPr>
          <w:rFonts w:ascii="Arial" w:eastAsia="Arial" w:hAnsi="Arial" w:cs="Arial"/>
          <w:sz w:val="22"/>
          <w:szCs w:val="22"/>
          <w:highlight w:val="white"/>
        </w:rPr>
        <w:t>SUPREMA CONSTRUCTORA S.A.S</w:t>
      </w:r>
      <w:r>
        <w:rPr>
          <w:rFonts w:ascii="Arial" w:eastAsia="Arial" w:hAnsi="Arial" w:cs="Arial"/>
          <w:sz w:val="22"/>
          <w:szCs w:val="22"/>
        </w:rPr>
        <w:t>., interpuso recurso de reposición y en subsidio apelación contra la Resolución No. 2484 del 24 de octubre de 2023,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p>
    <w:p w14:paraId="00677037" w14:textId="77777777" w:rsidR="008762AE" w:rsidRDefault="008762AE">
      <w:pPr>
        <w:ind w:right="-92"/>
        <w:jc w:val="both"/>
        <w:rPr>
          <w:rFonts w:ascii="Arial" w:eastAsia="Arial" w:hAnsi="Arial" w:cs="Arial"/>
          <w:color w:val="FF9900"/>
          <w:sz w:val="22"/>
          <w:szCs w:val="22"/>
        </w:rPr>
      </w:pPr>
    </w:p>
    <w:p w14:paraId="1B489A6A" w14:textId="77777777" w:rsidR="008762AE" w:rsidRPr="001B0860" w:rsidRDefault="001673E7">
      <w:pPr>
        <w:ind w:right="-92"/>
        <w:jc w:val="both"/>
        <w:rPr>
          <w:rFonts w:ascii="Arial" w:eastAsia="Arial" w:hAnsi="Arial" w:cs="Arial"/>
          <w:sz w:val="22"/>
          <w:szCs w:val="22"/>
        </w:rPr>
      </w:pPr>
      <w:r>
        <w:rPr>
          <w:rFonts w:ascii="Arial" w:eastAsia="Arial" w:hAnsi="Arial" w:cs="Arial"/>
          <w:sz w:val="22"/>
          <w:szCs w:val="22"/>
        </w:rPr>
        <w:t xml:space="preserve">Que, mediante Resolución No. 237 del 24 de abril de 2024, este Despacho rechaza de plano el recurso de reposición y en subsidio apelación interpuesto contra la Resolución No. 2484 del 24 de octubre de 2023. Quedando debidamente ejecutoriada el </w:t>
      </w:r>
      <w:r w:rsidRPr="001B0860">
        <w:rPr>
          <w:rFonts w:ascii="Arial" w:eastAsia="Arial" w:hAnsi="Arial" w:cs="Arial"/>
          <w:sz w:val="22"/>
          <w:szCs w:val="22"/>
        </w:rPr>
        <w:t>veintiocho (28) de noviembre de 2023.</w:t>
      </w:r>
    </w:p>
    <w:p w14:paraId="4B58A355" w14:textId="77777777" w:rsidR="008762AE" w:rsidRDefault="008762AE">
      <w:pPr>
        <w:ind w:right="-92"/>
        <w:jc w:val="both"/>
        <w:rPr>
          <w:rFonts w:ascii="Arial" w:eastAsia="Arial" w:hAnsi="Arial" w:cs="Arial"/>
          <w:sz w:val="22"/>
          <w:szCs w:val="22"/>
        </w:rPr>
      </w:pPr>
    </w:p>
    <w:p w14:paraId="227EDF67" w14:textId="77777777" w:rsidR="008762AE" w:rsidRDefault="001673E7">
      <w:pPr>
        <w:ind w:right="-92"/>
        <w:jc w:val="both"/>
        <w:rPr>
          <w:rFonts w:ascii="Arial" w:eastAsia="Arial" w:hAnsi="Arial" w:cs="Arial"/>
          <w:sz w:val="22"/>
          <w:szCs w:val="22"/>
        </w:rPr>
      </w:pPr>
      <w:r>
        <w:rPr>
          <w:rFonts w:ascii="Arial" w:eastAsia="Arial" w:hAnsi="Arial" w:cs="Arial"/>
          <w:sz w:val="22"/>
          <w:szCs w:val="22"/>
        </w:rPr>
        <w:t>Que, mediante radicados 2-2025-68129 y 2-2025-68130 del 20 de octubre de 2025, este Despacho requiere dentro del término de quince (15) días a las partes en lo concerniente al cumplimiento de la orden impuesta por la Resolución No. 2484 del 24 de octubre de 2023, ante lo cual la parte quejosa guardó silencio.</w:t>
      </w:r>
    </w:p>
    <w:p w14:paraId="784D3EFE" w14:textId="77777777" w:rsidR="008762AE" w:rsidRDefault="008762AE">
      <w:pPr>
        <w:ind w:right="-92"/>
        <w:jc w:val="both"/>
        <w:rPr>
          <w:rFonts w:ascii="Arial" w:eastAsia="Arial" w:hAnsi="Arial" w:cs="Arial"/>
          <w:sz w:val="22"/>
          <w:szCs w:val="22"/>
        </w:rPr>
      </w:pPr>
    </w:p>
    <w:p w14:paraId="4676888A" w14:textId="77777777" w:rsidR="008762AE" w:rsidRDefault="001673E7">
      <w:pPr>
        <w:ind w:right="-92"/>
        <w:jc w:val="both"/>
        <w:rPr>
          <w:rFonts w:ascii="Arial" w:eastAsia="Arial" w:hAnsi="Arial" w:cs="Arial"/>
          <w:sz w:val="22"/>
          <w:szCs w:val="22"/>
        </w:rPr>
      </w:pPr>
      <w:r>
        <w:rPr>
          <w:rFonts w:ascii="Arial" w:eastAsia="Arial" w:hAnsi="Arial" w:cs="Arial"/>
          <w:sz w:val="22"/>
          <w:szCs w:val="22"/>
        </w:rPr>
        <w:t xml:space="preserve">Que, mediante radicado 1-2025-64262 del 18 de diciembre de 2025 la sociedad enajenadora </w:t>
      </w:r>
      <w:r>
        <w:rPr>
          <w:rFonts w:ascii="Arial" w:eastAsia="Arial" w:hAnsi="Arial" w:cs="Arial"/>
          <w:sz w:val="22"/>
          <w:szCs w:val="22"/>
          <w:highlight w:val="white"/>
        </w:rPr>
        <w:t>SUPREMA CONSTRUCTORA S.A.S</w:t>
      </w:r>
      <w:r>
        <w:rPr>
          <w:rFonts w:ascii="Arial" w:eastAsia="Arial" w:hAnsi="Arial" w:cs="Arial"/>
          <w:sz w:val="22"/>
          <w:szCs w:val="22"/>
        </w:rPr>
        <w:t>, allegó al despacho acta de ejecución de obras y solicitó el cierre de la actuación administrativa.</w:t>
      </w:r>
    </w:p>
    <w:p w14:paraId="4C60F01F" w14:textId="77777777" w:rsidR="008762AE" w:rsidRDefault="008762AE">
      <w:pPr>
        <w:ind w:right="-92"/>
        <w:jc w:val="both"/>
        <w:rPr>
          <w:rFonts w:ascii="Arial" w:eastAsia="Arial" w:hAnsi="Arial" w:cs="Arial"/>
          <w:color w:val="FF9900"/>
          <w:sz w:val="22"/>
          <w:szCs w:val="22"/>
        </w:rPr>
      </w:pPr>
    </w:p>
    <w:p w14:paraId="3DE8B4DF" w14:textId="77777777" w:rsidR="008762AE" w:rsidRDefault="001673E7">
      <w:pPr>
        <w:widowControl w:val="0"/>
        <w:ind w:right="-92"/>
        <w:jc w:val="both"/>
        <w:rPr>
          <w:rFonts w:ascii="Arial" w:eastAsia="Arial" w:hAnsi="Arial" w:cs="Arial"/>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 xml:space="preserve">o la </w:t>
      </w:r>
      <w:r>
        <w:rPr>
          <w:rFonts w:ascii="Arial" w:eastAsia="Arial" w:hAnsi="Arial" w:cs="Arial"/>
          <w:sz w:val="22"/>
          <w:szCs w:val="22"/>
        </w:rPr>
        <w:lastRenderedPageBreak/>
        <w:t>culminación de la actuación administrativa de seguimiento, previo el siguiente:</w:t>
      </w:r>
    </w:p>
    <w:p w14:paraId="236FA029" w14:textId="77777777" w:rsidR="008762AE" w:rsidRDefault="008762AE">
      <w:pPr>
        <w:widowControl w:val="0"/>
        <w:ind w:right="-92"/>
        <w:jc w:val="both"/>
        <w:rPr>
          <w:rFonts w:ascii="Arial" w:eastAsia="Arial" w:hAnsi="Arial" w:cs="Arial"/>
          <w:sz w:val="22"/>
          <w:szCs w:val="22"/>
        </w:rPr>
      </w:pPr>
    </w:p>
    <w:p w14:paraId="0C6013DF" w14:textId="77777777" w:rsidR="008762AE" w:rsidRDefault="001673E7">
      <w:pPr>
        <w:jc w:val="center"/>
        <w:rPr>
          <w:rFonts w:ascii="Arial" w:eastAsia="Arial" w:hAnsi="Arial" w:cs="Arial"/>
          <w:b/>
          <w:bCs/>
          <w:sz w:val="22"/>
          <w:szCs w:val="22"/>
        </w:rPr>
      </w:pPr>
      <w:r>
        <w:rPr>
          <w:rFonts w:ascii="Arial" w:eastAsia="Calibri" w:hAnsi="Arial" w:cs="Arial"/>
          <w:b/>
          <w:bCs/>
          <w:sz w:val="22"/>
          <w:szCs w:val="22"/>
          <w:lang w:val="es-CO" w:eastAsia="es-ES"/>
        </w:rPr>
        <w:t>ANÁLISIS DEL DESPACHO</w:t>
      </w:r>
    </w:p>
    <w:p w14:paraId="5CE716B8" w14:textId="77777777" w:rsidR="008762AE" w:rsidRDefault="008762AE">
      <w:pPr>
        <w:rPr>
          <w:rFonts w:ascii="Arial" w:eastAsia="Arial" w:hAnsi="Arial" w:cs="Arial"/>
          <w:b/>
          <w:bCs/>
          <w:sz w:val="22"/>
          <w:szCs w:val="22"/>
        </w:rPr>
      </w:pPr>
    </w:p>
    <w:p w14:paraId="285F8057" w14:textId="77777777" w:rsidR="008762AE" w:rsidRDefault="001673E7">
      <w:pPr>
        <w:pStyle w:val="Prrafodelista"/>
        <w:numPr>
          <w:ilvl w:val="0"/>
          <w:numId w:val="5"/>
        </w:numPr>
        <w:rPr>
          <w:rFonts w:ascii="Arial" w:eastAsia="Arial" w:hAnsi="Arial" w:cs="Arial"/>
          <w:b/>
          <w:bCs/>
          <w:sz w:val="22"/>
          <w:szCs w:val="22"/>
        </w:rPr>
      </w:pPr>
      <w:r>
        <w:rPr>
          <w:rFonts w:ascii="Arial" w:eastAsia="Calibri" w:hAnsi="Arial" w:cs="Arial"/>
          <w:b/>
          <w:bCs/>
          <w:sz w:val="22"/>
          <w:szCs w:val="22"/>
          <w:lang w:val="es-CO" w:eastAsia="es-ES"/>
        </w:rPr>
        <w:t>FUNDAMENTO LEGAL</w:t>
      </w:r>
    </w:p>
    <w:p w14:paraId="72CB47DE" w14:textId="77777777" w:rsidR="008762AE" w:rsidRDefault="008762AE">
      <w:pPr>
        <w:jc w:val="center"/>
        <w:rPr>
          <w:rFonts w:ascii="Arial" w:eastAsia="Arial" w:hAnsi="Arial" w:cs="Arial"/>
          <w:b/>
          <w:bCs/>
          <w:sz w:val="22"/>
          <w:szCs w:val="22"/>
        </w:rPr>
      </w:pPr>
    </w:p>
    <w:p w14:paraId="7B910DAD" w14:textId="77777777" w:rsidR="008762AE" w:rsidRDefault="001673E7">
      <w:pPr>
        <w:jc w:val="both"/>
        <w:rPr>
          <w:rFonts w:ascii="Arial" w:eastAsia="Arial" w:hAnsi="Arial" w:cs="Arial"/>
          <w:b/>
          <w:bCs/>
          <w:sz w:val="22"/>
          <w:szCs w:val="22"/>
        </w:rPr>
      </w:pPr>
      <w:r>
        <w:rPr>
          <w:rFonts w:ascii="Arial" w:eastAsia="Calibri" w:hAnsi="Arial" w:cs="Arial"/>
          <w:sz w:val="22"/>
          <w:szCs w:val="22"/>
          <w:lang w:val="es-CO"/>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06C6939F" w14:textId="77777777" w:rsidR="008762AE" w:rsidRDefault="008762AE">
      <w:pPr>
        <w:jc w:val="both"/>
        <w:rPr>
          <w:rFonts w:ascii="Arial" w:eastAsia="Arial" w:hAnsi="Arial" w:cs="Arial"/>
          <w:b/>
          <w:bCs/>
          <w:sz w:val="22"/>
          <w:szCs w:val="22"/>
        </w:rPr>
      </w:pPr>
    </w:p>
    <w:p w14:paraId="0B19F24A" w14:textId="77777777" w:rsidR="008762AE" w:rsidRDefault="001673E7">
      <w:pPr>
        <w:jc w:val="both"/>
        <w:rPr>
          <w:rFonts w:ascii="Arial" w:eastAsia="Arial" w:hAnsi="Arial" w:cs="Arial"/>
          <w:b/>
          <w:bCs/>
          <w:sz w:val="22"/>
          <w:szCs w:val="22"/>
        </w:rPr>
      </w:pPr>
      <w:r>
        <w:rPr>
          <w:rFonts w:ascii="Arial" w:eastAsia="Calibri" w:hAnsi="Arial" w:cs="Arial"/>
          <w:sz w:val="22"/>
          <w:szCs w:val="22"/>
          <w:lang w:val="es-CO"/>
        </w:rPr>
        <w:t xml:space="preserve">Bajo este entendido, el parágrafo del artículo 1 del Decreto 572 de 2015 establece que la </w:t>
      </w:r>
      <w:r>
        <w:rPr>
          <w:rFonts w:ascii="Arial" w:eastAsia="Calibri" w:hAnsi="Arial" w:cs="Arial"/>
          <w:sz w:val="22"/>
          <w:szCs w:val="22"/>
          <w:shd w:val="clear" w:color="FFFFFF" w:fill="FFFFFF"/>
          <w:lang w:val="es-CO" w:eastAsia="en-US"/>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Pr>
          <w:rFonts w:ascii="Arial" w:eastAsia="Calibri" w:hAnsi="Arial" w:cs="Arial"/>
          <w:sz w:val="22"/>
          <w:szCs w:val="22"/>
          <w:lang w:val="es-CO"/>
        </w:rPr>
        <w:t xml:space="preserve">esta entidad procedió a imponer mediante la </w:t>
      </w:r>
      <w:r>
        <w:rPr>
          <w:rFonts w:ascii="Arial" w:eastAsia="Arial" w:hAnsi="Arial" w:cs="Arial"/>
          <w:sz w:val="22"/>
          <w:szCs w:val="22"/>
        </w:rPr>
        <w:t>Resolución No. 2484 del 24 de octubre de 2023</w:t>
      </w:r>
      <w:r>
        <w:rPr>
          <w:rFonts w:ascii="Arial" w:eastAsia="Calibri" w:hAnsi="Arial" w:cs="Arial"/>
          <w:sz w:val="22"/>
          <w:szCs w:val="22"/>
          <w:lang w:val="es-MX" w:eastAsia="en-US"/>
        </w:rPr>
        <w:t xml:space="preserve">, </w:t>
      </w:r>
      <w:r>
        <w:rPr>
          <w:rFonts w:ascii="Arial" w:eastAsia="Calibri" w:hAnsi="Arial" w:cs="Arial"/>
          <w:sz w:val="22"/>
          <w:szCs w:val="22"/>
          <w:lang w:val="es-CO" w:eastAsia="es-ES"/>
        </w:rPr>
        <w:t>“</w:t>
      </w:r>
      <w:r>
        <w:rPr>
          <w:rFonts w:ascii="Arial" w:eastAsia="Calibri" w:hAnsi="Arial" w:cs="Arial"/>
          <w:i/>
          <w:iCs/>
          <w:sz w:val="22"/>
          <w:szCs w:val="22"/>
          <w:lang w:val="es-CO" w:eastAsia="es-ES"/>
        </w:rPr>
        <w:t>Por la cual se impone una sanción y se imparte una orden</w:t>
      </w:r>
      <w:r>
        <w:rPr>
          <w:rFonts w:ascii="Arial" w:eastAsia="Calibri" w:hAnsi="Arial" w:cs="Arial"/>
          <w:sz w:val="22"/>
          <w:szCs w:val="22"/>
          <w:lang w:val="es-CO" w:eastAsia="es-ES"/>
        </w:rPr>
        <w:t>”</w:t>
      </w:r>
      <w:r>
        <w:rPr>
          <w:rFonts w:ascii="Arial" w:eastAsia="Calibri" w:hAnsi="Arial" w:cs="Arial"/>
          <w:sz w:val="22"/>
          <w:szCs w:val="22"/>
          <w:lang w:val="es-CO" w:eastAsia="en-US"/>
        </w:rPr>
        <w:t xml:space="preserve">, </w:t>
      </w:r>
      <w:r>
        <w:rPr>
          <w:rFonts w:ascii="Arial" w:eastAsia="Calibri" w:hAnsi="Arial" w:cs="Arial"/>
          <w:sz w:val="22"/>
          <w:szCs w:val="22"/>
          <w:lang w:val="es-CO"/>
        </w:rPr>
        <w:t>a la sociedad enajenadora</w:t>
      </w:r>
      <w:r>
        <w:rPr>
          <w:rFonts w:ascii="Arial" w:eastAsia="Calibri" w:hAnsi="Arial" w:cs="Arial"/>
          <w:sz w:val="22"/>
          <w:szCs w:val="22"/>
          <w:lang w:eastAsia="es-ES"/>
        </w:rPr>
        <w:t xml:space="preserve"> </w:t>
      </w:r>
      <w:r>
        <w:rPr>
          <w:rFonts w:ascii="Arial" w:eastAsia="Arial" w:hAnsi="Arial" w:cs="Arial"/>
          <w:sz w:val="22"/>
          <w:szCs w:val="22"/>
          <w:highlight w:val="white"/>
        </w:rPr>
        <w:t>SUPREMA CONSTRUCTORA S.A.S</w:t>
      </w:r>
      <w:r>
        <w:rPr>
          <w:rFonts w:ascii="Arial" w:eastAsia="Calibri" w:hAnsi="Arial" w:cs="Arial"/>
          <w:i/>
          <w:iCs/>
          <w:sz w:val="22"/>
          <w:szCs w:val="22"/>
          <w:lang w:val="es-MX" w:eastAsia="es-ES"/>
        </w:rPr>
        <w:t xml:space="preserve">, </w:t>
      </w:r>
      <w:r>
        <w:rPr>
          <w:rFonts w:ascii="Arial" w:eastAsia="Calibri" w:hAnsi="Arial" w:cs="Arial"/>
          <w:sz w:val="22"/>
          <w:szCs w:val="22"/>
          <w:lang w:val="es-CO" w:eastAsia="es-ES"/>
        </w:rPr>
        <w:t>consistente en multa y orden de hacer.</w:t>
      </w:r>
    </w:p>
    <w:p w14:paraId="7D70A4D8" w14:textId="77777777" w:rsidR="008762AE" w:rsidRDefault="008762AE">
      <w:pPr>
        <w:jc w:val="both"/>
        <w:rPr>
          <w:rFonts w:ascii="Arial" w:eastAsia="Arial" w:hAnsi="Arial" w:cs="Arial"/>
          <w:b/>
          <w:bCs/>
          <w:sz w:val="22"/>
          <w:szCs w:val="22"/>
        </w:rPr>
      </w:pPr>
    </w:p>
    <w:p w14:paraId="6570F9DD" w14:textId="77777777" w:rsidR="008762AE" w:rsidRDefault="001673E7">
      <w:pPr>
        <w:jc w:val="both"/>
        <w:rPr>
          <w:rFonts w:ascii="Arial" w:eastAsia="Arial" w:hAnsi="Arial" w:cs="Arial"/>
          <w:b/>
          <w:bCs/>
          <w:sz w:val="22"/>
          <w:szCs w:val="22"/>
        </w:rPr>
      </w:pPr>
      <w:r>
        <w:rPr>
          <w:rFonts w:ascii="Arial" w:eastAsia="Calibri" w:hAnsi="Arial" w:cs="Arial"/>
          <w:sz w:val="22"/>
          <w:szCs w:val="22"/>
          <w:lang w:val="es-CO"/>
        </w:rPr>
        <w:t xml:space="preserve">Ahora bien, señala el artículo 16 del Decreto Distrital 572 de 2015 que, una vez ejecutoriada la actuación que imponga una orden a los enajenadores responsables de un proyecto de vivienda, y superado el término dispuesto para su cumplimiento, se adelantará el </w:t>
      </w:r>
      <w:r>
        <w:rPr>
          <w:rFonts w:ascii="Arial" w:eastAsia="Calibri" w:hAnsi="Arial" w:cs="Arial"/>
          <w:b/>
          <w:bCs/>
          <w:sz w:val="22"/>
          <w:szCs w:val="22"/>
          <w:lang w:val="es-CO"/>
        </w:rPr>
        <w:t>SEGUIMIENTO A LA ORDEN</w:t>
      </w:r>
      <w:r>
        <w:rPr>
          <w:rFonts w:ascii="Arial" w:eastAsia="Calibri" w:hAnsi="Arial" w:cs="Arial"/>
          <w:sz w:val="22"/>
          <w:szCs w:val="22"/>
          <w:lang w:val="es-CO"/>
        </w:rPr>
        <w:t xml:space="preserve"> para corroborar el cumplimiento del acto administrativo que la impuso.</w:t>
      </w:r>
    </w:p>
    <w:p w14:paraId="3A2E75D1" w14:textId="77777777" w:rsidR="008762AE" w:rsidRDefault="008762AE">
      <w:pPr>
        <w:jc w:val="both"/>
        <w:rPr>
          <w:rFonts w:ascii="Arial" w:eastAsia="Arial" w:hAnsi="Arial" w:cs="Arial"/>
          <w:b/>
          <w:bCs/>
          <w:sz w:val="22"/>
          <w:szCs w:val="22"/>
        </w:rPr>
      </w:pPr>
    </w:p>
    <w:p w14:paraId="236AA74C" w14:textId="77777777" w:rsidR="008762AE" w:rsidRDefault="001673E7">
      <w:pPr>
        <w:jc w:val="both"/>
        <w:rPr>
          <w:rFonts w:ascii="Arial" w:eastAsia="Arial" w:hAnsi="Arial" w:cs="Arial"/>
          <w:b/>
          <w:bCs/>
          <w:sz w:val="22"/>
          <w:szCs w:val="22"/>
        </w:rPr>
      </w:pPr>
      <w:r>
        <w:rPr>
          <w:rFonts w:ascii="Arial" w:eastAsia="Calibri" w:hAnsi="Arial" w:cs="Arial"/>
          <w:sz w:val="22"/>
          <w:szCs w:val="22"/>
          <w:lang w:val="es-CO" w:eastAsia="en-US"/>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 a quinientos mil pesos ($500.000) M/cte., a las personas o entidades que </w:t>
      </w:r>
      <w:r>
        <w:rPr>
          <w:rFonts w:ascii="Arial" w:eastAsia="Calibri" w:hAnsi="Arial" w:cs="Arial"/>
          <w:b/>
          <w:bCs/>
          <w:sz w:val="22"/>
          <w:szCs w:val="22"/>
          <w:u w:val="single"/>
          <w:lang w:val="es-CO" w:eastAsia="en-US"/>
        </w:rPr>
        <w:t>incumplan las órdenes</w:t>
      </w:r>
      <w:r>
        <w:rPr>
          <w:rFonts w:ascii="Arial" w:eastAsia="Calibri" w:hAnsi="Arial" w:cs="Arial"/>
          <w:sz w:val="22"/>
          <w:szCs w:val="22"/>
          <w:lang w:val="es-CO" w:eastAsia="en-US"/>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DA0D651" w14:textId="77777777" w:rsidR="008762AE" w:rsidRDefault="008762AE">
      <w:pPr>
        <w:jc w:val="both"/>
        <w:rPr>
          <w:rFonts w:ascii="Arial" w:eastAsia="Arial" w:hAnsi="Arial" w:cs="Arial"/>
          <w:b/>
          <w:bCs/>
          <w:sz w:val="22"/>
          <w:szCs w:val="22"/>
        </w:rPr>
      </w:pPr>
    </w:p>
    <w:p w14:paraId="2E4AB4BF" w14:textId="77777777" w:rsidR="008762AE" w:rsidRDefault="001673E7">
      <w:pPr>
        <w:jc w:val="both"/>
        <w:rPr>
          <w:rFonts w:ascii="Arial" w:eastAsia="Arial" w:hAnsi="Arial" w:cs="Arial"/>
          <w:b/>
          <w:bCs/>
          <w:sz w:val="22"/>
          <w:szCs w:val="22"/>
        </w:rPr>
      </w:pPr>
      <w:r>
        <w:rPr>
          <w:rFonts w:ascii="Arial" w:eastAsia="Calibri" w:hAnsi="Arial" w:cs="Arial"/>
          <w:sz w:val="22"/>
          <w:szCs w:val="22"/>
          <w:lang w:val="es-CO" w:eastAsia="en-US"/>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6C90CCC6" w14:textId="77777777" w:rsidR="008762AE" w:rsidRDefault="001673E7">
      <w:pPr>
        <w:autoSpaceDE w:val="0"/>
        <w:autoSpaceDN w:val="0"/>
        <w:adjustRightInd w:val="0"/>
        <w:jc w:val="both"/>
        <w:rPr>
          <w:rFonts w:ascii="Arial" w:eastAsia="Arial" w:hAnsi="Arial" w:cs="Arial"/>
          <w:b/>
          <w:bCs/>
          <w:sz w:val="22"/>
          <w:szCs w:val="22"/>
        </w:rPr>
      </w:pPr>
      <w:r>
        <w:rPr>
          <w:rFonts w:ascii="Arial" w:hAnsi="Arial" w:cs="Arial"/>
          <w:sz w:val="22"/>
          <w:szCs w:val="22"/>
          <w:lang w:eastAsia="es-ES"/>
        </w:rPr>
        <w:lastRenderedPageBreak/>
        <w:t xml:space="preserve">En concordancia con lo expresado, viendo que de las actuaciones adelantadas no se desprende causal de nulidad alguna en el procedimiento, procede este Despacho a realizar el estudio de los elementos probatorios recaudados por esta Dirección, sobre los hechos objeto de la orden de hacer contenidos en la </w:t>
      </w:r>
      <w:r>
        <w:rPr>
          <w:rFonts w:ascii="Arial" w:eastAsia="Arial" w:hAnsi="Arial" w:cs="Arial"/>
          <w:sz w:val="22"/>
          <w:szCs w:val="22"/>
        </w:rPr>
        <w:t>Resolución No. 2484 del 24 de octubre de 2023</w:t>
      </w:r>
      <w:r>
        <w:rPr>
          <w:rFonts w:ascii="Arial" w:hAnsi="Arial" w:cs="Arial"/>
          <w:sz w:val="22"/>
          <w:szCs w:val="22"/>
          <w:lang w:eastAsia="es-ES"/>
        </w:rPr>
        <w:t xml:space="preserve"> “</w:t>
      </w:r>
      <w:r>
        <w:rPr>
          <w:rFonts w:ascii="Arial" w:hAnsi="Arial" w:cs="Arial"/>
          <w:i/>
          <w:iCs/>
          <w:sz w:val="22"/>
          <w:szCs w:val="22"/>
          <w:lang w:eastAsia="es-ES"/>
        </w:rPr>
        <w:t>Por la cual se impone una sanción y se imparte una orden</w:t>
      </w:r>
      <w:r>
        <w:rPr>
          <w:rFonts w:ascii="Arial" w:hAnsi="Arial" w:cs="Arial"/>
          <w:sz w:val="22"/>
          <w:szCs w:val="22"/>
          <w:lang w:eastAsia="es-ES"/>
        </w:rPr>
        <w:t>” con el fin de determinar si existe mérito para imposición de nuevas multas o si se ha dado cumplimiento a la orden de hacer.</w:t>
      </w:r>
    </w:p>
    <w:p w14:paraId="0A0CC24B" w14:textId="77777777" w:rsidR="008762AE" w:rsidRDefault="008762AE">
      <w:pPr>
        <w:autoSpaceDE w:val="0"/>
        <w:autoSpaceDN w:val="0"/>
        <w:adjustRightInd w:val="0"/>
        <w:jc w:val="both"/>
        <w:rPr>
          <w:rFonts w:ascii="Arial" w:eastAsia="Arial" w:hAnsi="Arial" w:cs="Arial"/>
          <w:b/>
          <w:bCs/>
          <w:sz w:val="22"/>
          <w:szCs w:val="22"/>
        </w:rPr>
      </w:pPr>
    </w:p>
    <w:p w14:paraId="2686731E" w14:textId="77777777" w:rsidR="008762AE" w:rsidRDefault="001673E7">
      <w:pPr>
        <w:jc w:val="center"/>
        <w:rPr>
          <w:rFonts w:ascii="Arial" w:eastAsia="Arial" w:hAnsi="Arial" w:cs="Arial"/>
          <w:b/>
          <w:bCs/>
          <w:sz w:val="22"/>
          <w:szCs w:val="22"/>
        </w:rPr>
      </w:pPr>
      <w:r>
        <w:rPr>
          <w:rFonts w:ascii="Arial" w:eastAsia="Calibri" w:hAnsi="Arial" w:cs="Arial"/>
          <w:b/>
          <w:bCs/>
          <w:sz w:val="22"/>
          <w:szCs w:val="22"/>
          <w:lang w:val="es-CO" w:eastAsia="es-ES"/>
        </w:rPr>
        <w:t xml:space="preserve">ANÁLISIS PROBATORIO </w:t>
      </w:r>
    </w:p>
    <w:p w14:paraId="0EFAFE66" w14:textId="77777777" w:rsidR="008762AE" w:rsidRDefault="008762AE">
      <w:pPr>
        <w:jc w:val="both"/>
        <w:rPr>
          <w:rFonts w:ascii="Arial" w:eastAsia="Arial" w:hAnsi="Arial" w:cs="Arial"/>
          <w:b/>
          <w:bCs/>
          <w:sz w:val="22"/>
          <w:szCs w:val="22"/>
        </w:rPr>
      </w:pPr>
      <w:bookmarkStart w:id="6" w:name="_Hlk139616332"/>
    </w:p>
    <w:p w14:paraId="4DFE40E2" w14:textId="420994BC" w:rsidR="008762AE" w:rsidRDefault="001673E7">
      <w:pPr>
        <w:jc w:val="both"/>
        <w:rPr>
          <w:rFonts w:ascii="Arial" w:eastAsia="Calibri" w:hAnsi="Arial" w:cs="Arial"/>
          <w:sz w:val="22"/>
          <w:szCs w:val="22"/>
          <w:shd w:val="clear" w:color="FFFFFF" w:fill="FFFFFF"/>
          <w:lang w:val="es-CO" w:eastAsia="en-US"/>
        </w:rPr>
      </w:pPr>
      <w:r>
        <w:rPr>
          <w:rFonts w:ascii="Arial" w:eastAsia="Calibri" w:hAnsi="Arial" w:cs="Arial"/>
          <w:sz w:val="22"/>
          <w:szCs w:val="22"/>
          <w:lang w:val="es-CO" w:eastAsia="en-US"/>
        </w:rPr>
        <w:t xml:space="preserve">Como se ha establecido, dentro de la actuación administrativa </w:t>
      </w:r>
      <w:r>
        <w:rPr>
          <w:rFonts w:ascii="Arial" w:eastAsia="Calibri" w:hAnsi="Arial" w:cs="Arial"/>
          <w:color w:val="000000"/>
          <w:sz w:val="22"/>
          <w:szCs w:val="22"/>
          <w:lang w:val="es-CO" w:eastAsia="en-US"/>
        </w:rPr>
        <w:t xml:space="preserve">obra acreditación de cumplimiento con </w:t>
      </w:r>
      <w:r>
        <w:rPr>
          <w:rFonts w:ascii="Arial" w:eastAsia="Calibri" w:hAnsi="Arial" w:cs="Arial"/>
          <w:color w:val="000000"/>
          <w:sz w:val="22"/>
          <w:szCs w:val="22"/>
          <w:lang w:val="es-CO" w:eastAsia="es-ES"/>
        </w:rPr>
        <w:t xml:space="preserve">radicado No. </w:t>
      </w:r>
      <w:r>
        <w:rPr>
          <w:rFonts w:ascii="Arial" w:eastAsia="Arial" w:hAnsi="Arial" w:cs="Arial"/>
          <w:color w:val="000000"/>
          <w:sz w:val="22"/>
          <w:szCs w:val="22"/>
        </w:rPr>
        <w:t>1-2025-64262 del 18 de diciembre de 2025</w:t>
      </w:r>
      <w:r>
        <w:rPr>
          <w:rFonts w:ascii="Arial" w:eastAsia="Calibri" w:hAnsi="Arial" w:cs="Arial"/>
          <w:color w:val="000000"/>
          <w:sz w:val="22"/>
          <w:szCs w:val="22"/>
          <w:lang w:val="es-CO" w:eastAsia="es-ES"/>
        </w:rPr>
        <w:t xml:space="preserve">, </w:t>
      </w:r>
      <w:r w:rsidRPr="0034424A">
        <w:rPr>
          <w:rFonts w:ascii="Arial" w:eastAsia="Calibri" w:hAnsi="Arial" w:cs="Arial"/>
          <w:color w:val="000000"/>
          <w:sz w:val="22"/>
          <w:szCs w:val="22"/>
          <w:lang w:val="es-CO" w:eastAsia="es-ES"/>
        </w:rPr>
        <w:t>a través de un acta de ejecuci</w:t>
      </w:r>
      <w:r>
        <w:rPr>
          <w:rFonts w:ascii="Arial" w:eastAsia="Calibri" w:hAnsi="Arial" w:cs="Arial"/>
          <w:color w:val="000000"/>
          <w:sz w:val="22"/>
          <w:szCs w:val="22"/>
          <w:lang w:val="es-US" w:eastAsia="es-ES"/>
        </w:rPr>
        <w:t>ò</w:t>
      </w:r>
      <w:r w:rsidRPr="0034424A">
        <w:rPr>
          <w:rFonts w:ascii="Arial" w:eastAsia="Calibri" w:hAnsi="Arial" w:cs="Arial"/>
          <w:color w:val="000000"/>
          <w:sz w:val="22"/>
          <w:szCs w:val="22"/>
          <w:lang w:val="es-CO" w:eastAsia="es-ES"/>
        </w:rPr>
        <w:t xml:space="preserve">n de obras </w:t>
      </w:r>
      <w:r>
        <w:rPr>
          <w:rFonts w:ascii="Arial" w:eastAsia="Calibri" w:hAnsi="Arial" w:cs="Arial"/>
          <w:color w:val="000000"/>
          <w:sz w:val="22"/>
          <w:szCs w:val="22"/>
          <w:lang w:val="es-CO" w:eastAsia="es-ES"/>
        </w:rPr>
        <w:t>suscrit</w:t>
      </w:r>
      <w:r w:rsidRPr="0034424A">
        <w:rPr>
          <w:rFonts w:ascii="Arial" w:eastAsia="Calibri" w:hAnsi="Arial" w:cs="Arial"/>
          <w:color w:val="000000"/>
          <w:sz w:val="22"/>
          <w:szCs w:val="22"/>
          <w:lang w:val="es-CO" w:eastAsia="es-ES"/>
        </w:rPr>
        <w:t xml:space="preserve">a el 15 de diciembre de 2025 </w:t>
      </w:r>
      <w:r>
        <w:rPr>
          <w:rFonts w:ascii="Arial" w:eastAsia="Calibri" w:hAnsi="Arial" w:cs="Arial"/>
          <w:color w:val="000000"/>
          <w:sz w:val="22"/>
          <w:szCs w:val="22"/>
          <w:lang w:val="es-CO" w:eastAsia="es-ES"/>
        </w:rPr>
        <w:t xml:space="preserve">por el señor </w:t>
      </w:r>
      <w:r>
        <w:rPr>
          <w:rFonts w:ascii="Arial" w:eastAsia="Arial" w:hAnsi="Arial" w:cs="Arial"/>
          <w:color w:val="000000"/>
          <w:sz w:val="22"/>
          <w:szCs w:val="22"/>
        </w:rPr>
        <w:t>CRISTIAN PLAZA BARACALDO en calidad de propietario del apartamento 1101 torre 3</w:t>
      </w:r>
      <w:r w:rsidRPr="0034424A">
        <w:rPr>
          <w:rFonts w:ascii="Arial" w:eastAsia="Arial" w:hAnsi="Arial" w:cs="Arial"/>
          <w:color w:val="000000"/>
          <w:sz w:val="22"/>
          <w:szCs w:val="22"/>
          <w:lang w:val="es-CO"/>
        </w:rPr>
        <w:t xml:space="preserve"> DEL</w:t>
      </w:r>
      <w:r>
        <w:rPr>
          <w:rFonts w:ascii="Arial" w:eastAsia="Arial" w:hAnsi="Arial" w:cs="Arial"/>
          <w:color w:val="000000"/>
          <w:sz w:val="22"/>
          <w:szCs w:val="22"/>
        </w:rPr>
        <w:t xml:space="preserve"> CONJUNTO RESIDENCIAL CAMINO DE TORCA - PROPIEDAD HORIZONTAL</w:t>
      </w:r>
      <w:r>
        <w:rPr>
          <w:rFonts w:ascii="Arial" w:eastAsia="Calibri" w:hAnsi="Arial" w:cs="Arial"/>
          <w:color w:val="000000"/>
          <w:sz w:val="22"/>
          <w:szCs w:val="22"/>
          <w:lang w:val="es-CO" w:eastAsia="es-ES"/>
        </w:rPr>
        <w:t xml:space="preserve"> </w:t>
      </w:r>
      <w:r w:rsidRPr="0034424A">
        <w:rPr>
          <w:rFonts w:ascii="Arial" w:eastAsia="Calibri" w:hAnsi="Arial" w:cs="Arial"/>
          <w:color w:val="000000"/>
          <w:sz w:val="22"/>
          <w:szCs w:val="22"/>
          <w:lang w:val="es-CO" w:eastAsia="es-ES"/>
        </w:rPr>
        <w:t>y la se</w:t>
      </w:r>
      <w:r>
        <w:rPr>
          <w:rFonts w:ascii="Arial" w:eastAsia="Calibri" w:hAnsi="Arial" w:cs="Arial"/>
          <w:color w:val="000000"/>
          <w:sz w:val="22"/>
          <w:szCs w:val="22"/>
          <w:lang w:val="es-US" w:eastAsia="es-ES"/>
        </w:rPr>
        <w:t>ñ</w:t>
      </w:r>
      <w:r w:rsidRPr="0034424A">
        <w:rPr>
          <w:rFonts w:ascii="Arial" w:eastAsia="Calibri" w:hAnsi="Arial" w:cs="Arial"/>
          <w:color w:val="000000"/>
          <w:sz w:val="22"/>
          <w:szCs w:val="22"/>
          <w:lang w:val="es-CO" w:eastAsia="es-ES"/>
        </w:rPr>
        <w:t xml:space="preserve">ora MARCELA MATUS CASTRO </w:t>
      </w:r>
      <w:r>
        <w:rPr>
          <w:rFonts w:ascii="Arial" w:eastAsia="Calibri" w:hAnsi="Arial" w:cs="Arial"/>
          <w:color w:val="000000"/>
          <w:sz w:val="22"/>
          <w:szCs w:val="22"/>
          <w:lang w:val="es-CO" w:eastAsia="es-ES"/>
        </w:rPr>
        <w:t xml:space="preserve">en su calidad de </w:t>
      </w:r>
      <w:r w:rsidRPr="0034424A">
        <w:rPr>
          <w:rFonts w:ascii="Arial" w:eastAsia="Calibri" w:hAnsi="Arial" w:cs="Arial"/>
          <w:color w:val="000000"/>
          <w:sz w:val="22"/>
          <w:szCs w:val="22"/>
          <w:lang w:val="es-CO" w:eastAsia="es-ES"/>
        </w:rPr>
        <w:t xml:space="preserve">gerente </w:t>
      </w:r>
      <w:r>
        <w:rPr>
          <w:rFonts w:ascii="Arial" w:eastAsia="Calibri" w:hAnsi="Arial" w:cs="Arial"/>
          <w:color w:val="000000"/>
          <w:sz w:val="22"/>
          <w:szCs w:val="22"/>
          <w:lang w:val="es-CO" w:eastAsia="es-ES"/>
        </w:rPr>
        <w:t xml:space="preserve">de la sociedad Enajenadora </w:t>
      </w:r>
      <w:r>
        <w:rPr>
          <w:rFonts w:ascii="Arial" w:eastAsia="Arial" w:hAnsi="Arial" w:cs="Arial"/>
          <w:sz w:val="22"/>
          <w:szCs w:val="22"/>
          <w:highlight w:val="white"/>
        </w:rPr>
        <w:t>SUPREMA CONSTRUCTORA S.A.S</w:t>
      </w:r>
      <w:r>
        <w:rPr>
          <w:rFonts w:ascii="Arial" w:eastAsia="Calibri" w:hAnsi="Arial" w:cs="Arial"/>
          <w:color w:val="000000"/>
          <w:sz w:val="22"/>
          <w:szCs w:val="22"/>
          <w:lang w:val="es-CO" w:eastAsia="es-ES"/>
        </w:rPr>
        <w:t>.</w:t>
      </w:r>
      <w:r w:rsidR="00974A25">
        <w:rPr>
          <w:rFonts w:ascii="Arial" w:eastAsia="Calibri" w:hAnsi="Arial" w:cs="Arial"/>
          <w:color w:val="000000"/>
          <w:sz w:val="22"/>
          <w:szCs w:val="22"/>
          <w:shd w:val="clear" w:color="FFFFFF" w:fill="FFFFFF"/>
          <w:lang w:val="es-CO" w:eastAsia="en-US"/>
        </w:rPr>
        <w:t xml:space="preserve">, </w:t>
      </w:r>
      <w:r>
        <w:rPr>
          <w:rFonts w:ascii="Arial" w:eastAsia="Calibri" w:hAnsi="Arial" w:cs="Arial"/>
          <w:color w:val="000000"/>
          <w:sz w:val="22"/>
          <w:szCs w:val="22"/>
          <w:shd w:val="clear" w:color="FFFFFF" w:fill="FFFFFF"/>
          <w:lang w:val="es-CO" w:eastAsia="en-US"/>
        </w:rPr>
        <w:t xml:space="preserve">mediante el cual allegó Acreditación de cumplimiento a la orden de hacer impuesta por medio de la </w:t>
      </w:r>
      <w:r>
        <w:rPr>
          <w:rFonts w:ascii="Arial" w:eastAsia="Arial" w:hAnsi="Arial" w:cs="Arial"/>
          <w:color w:val="000000"/>
          <w:sz w:val="22"/>
          <w:szCs w:val="22"/>
        </w:rPr>
        <w:t xml:space="preserve">Resolución No. 2484 </w:t>
      </w:r>
      <w:r>
        <w:rPr>
          <w:rFonts w:ascii="Arial" w:eastAsia="Arial" w:hAnsi="Arial" w:cs="Arial"/>
          <w:sz w:val="22"/>
          <w:szCs w:val="22"/>
        </w:rPr>
        <w:t>del 24 de octubre de 2023</w:t>
      </w:r>
      <w:r>
        <w:rPr>
          <w:rFonts w:ascii="Arial" w:eastAsia="Calibri" w:hAnsi="Arial" w:cs="Arial"/>
          <w:sz w:val="22"/>
          <w:szCs w:val="22"/>
          <w:lang w:val="es-MX" w:eastAsia="en-US"/>
        </w:rPr>
        <w:t>,</w:t>
      </w:r>
      <w:r w:rsidR="00974A25">
        <w:rPr>
          <w:rFonts w:ascii="Arial" w:eastAsia="Calibri" w:hAnsi="Arial" w:cs="Arial"/>
          <w:sz w:val="22"/>
          <w:szCs w:val="22"/>
          <w:lang w:val="es-MX" w:eastAsia="en-US"/>
        </w:rPr>
        <w:t xml:space="preserve"> </w:t>
      </w:r>
      <w:r>
        <w:rPr>
          <w:rFonts w:ascii="Arial" w:eastAsia="Calibri" w:hAnsi="Arial" w:cs="Arial"/>
          <w:sz w:val="22"/>
          <w:szCs w:val="22"/>
          <w:lang w:val="es-CO" w:eastAsia="en-US"/>
        </w:rPr>
        <w:t>“</w:t>
      </w:r>
      <w:r>
        <w:rPr>
          <w:rFonts w:ascii="Arial" w:eastAsia="Calibri" w:hAnsi="Arial" w:cs="Arial"/>
          <w:i/>
          <w:iCs/>
          <w:sz w:val="22"/>
          <w:szCs w:val="22"/>
          <w:lang w:val="es-CO" w:eastAsia="en-US"/>
        </w:rPr>
        <w:t>Por la cual se impone una sanción y se imparte una orden</w:t>
      </w:r>
      <w:r>
        <w:rPr>
          <w:rFonts w:ascii="Arial" w:eastAsia="Calibri" w:hAnsi="Arial" w:cs="Arial"/>
          <w:sz w:val="22"/>
          <w:szCs w:val="22"/>
          <w:lang w:val="es-CO" w:eastAsia="en-US"/>
        </w:rPr>
        <w:t>”</w:t>
      </w:r>
      <w:r>
        <w:rPr>
          <w:rFonts w:ascii="Arial" w:eastAsia="Calibri" w:hAnsi="Arial" w:cs="Arial"/>
          <w:sz w:val="22"/>
          <w:szCs w:val="22"/>
          <w:shd w:val="clear" w:color="FFFFFF" w:fill="FFFFFF"/>
          <w:lang w:val="es-CO" w:eastAsia="en-US"/>
        </w:rPr>
        <w:t xml:space="preserve"> con anexo adjunto del acta de </w:t>
      </w:r>
      <w:r w:rsidR="00974A25">
        <w:rPr>
          <w:rFonts w:ascii="Arial" w:eastAsia="Calibri" w:hAnsi="Arial" w:cs="Arial"/>
          <w:sz w:val="22"/>
          <w:szCs w:val="22"/>
          <w:shd w:val="clear" w:color="FFFFFF" w:fill="FFFFFF"/>
          <w:lang w:val="es-CO" w:eastAsia="en-US"/>
        </w:rPr>
        <w:t>ejecución</w:t>
      </w:r>
      <w:r w:rsidR="00965B42">
        <w:rPr>
          <w:rFonts w:ascii="Arial" w:eastAsia="Calibri" w:hAnsi="Arial" w:cs="Arial"/>
          <w:sz w:val="22"/>
          <w:szCs w:val="22"/>
          <w:shd w:val="clear" w:color="FFFFFF" w:fill="FFFFFF"/>
          <w:lang w:val="es-CO" w:eastAsia="en-US"/>
        </w:rPr>
        <w:t xml:space="preserve">, indicando: </w:t>
      </w:r>
    </w:p>
    <w:p w14:paraId="65228F5B" w14:textId="77777777" w:rsidR="00965B42" w:rsidRDefault="00965B42" w:rsidP="005D448F">
      <w:pPr>
        <w:ind w:left="340" w:right="340"/>
        <w:jc w:val="both"/>
        <w:rPr>
          <w:rFonts w:ascii="Arial" w:eastAsia="Calibri" w:hAnsi="Arial" w:cs="Arial"/>
          <w:sz w:val="22"/>
          <w:szCs w:val="22"/>
          <w:shd w:val="clear" w:color="FFFFFF" w:fill="FFFFFF"/>
          <w:lang w:val="es-CO" w:eastAsia="en-US"/>
        </w:rPr>
      </w:pPr>
    </w:p>
    <w:p w14:paraId="52B3E0BD" w14:textId="77777777" w:rsidR="005D448F" w:rsidRDefault="005D448F" w:rsidP="005D448F">
      <w:pPr>
        <w:widowControl w:val="0"/>
        <w:ind w:left="340" w:right="340"/>
        <w:jc w:val="both"/>
        <w:rPr>
          <w:rFonts w:ascii="Arial" w:eastAsia="Arial" w:hAnsi="Arial" w:cs="Arial"/>
          <w:i/>
          <w:iCs/>
          <w:sz w:val="22"/>
          <w:szCs w:val="22"/>
          <w:lang w:val="es-CO"/>
        </w:rPr>
      </w:pPr>
      <w:r w:rsidRPr="00C019B3">
        <w:rPr>
          <w:rFonts w:ascii="Arial" w:eastAsia="Arial" w:hAnsi="Arial" w:cs="Arial"/>
          <w:i/>
          <w:iCs/>
          <w:sz w:val="22"/>
          <w:szCs w:val="22"/>
          <w:lang w:val="es-CO"/>
        </w:rPr>
        <w:t xml:space="preserve">“(…) </w:t>
      </w:r>
      <w:r w:rsidRPr="00616FCA">
        <w:rPr>
          <w:rFonts w:ascii="Arial" w:eastAsia="Arial" w:hAnsi="Arial" w:cs="Arial"/>
          <w:i/>
          <w:iCs/>
          <w:sz w:val="22"/>
          <w:szCs w:val="22"/>
          <w:lang w:val="es-CO"/>
        </w:rPr>
        <w:t>en cumplimiento de las obligaciones de atención a garantías y en respuesta a las solicit5udes realizadas por el señor Cristian Plaza, residente del apartamento 1101 del edificio Camino de Torca, se realizó inspección técnica, diagnóstico y posterior intervención correctiva en la unidad habitacional mencionada</w:t>
      </w:r>
      <w:r w:rsidRPr="00C019B3">
        <w:rPr>
          <w:rFonts w:ascii="Arial" w:eastAsia="Arial" w:hAnsi="Arial" w:cs="Arial"/>
          <w:i/>
          <w:iCs/>
          <w:sz w:val="22"/>
          <w:szCs w:val="22"/>
          <w:lang w:val="es-CO"/>
        </w:rPr>
        <w:t>.</w:t>
      </w:r>
    </w:p>
    <w:p w14:paraId="59C18E4C" w14:textId="77777777" w:rsidR="005D448F" w:rsidRDefault="005D448F" w:rsidP="005D448F">
      <w:pPr>
        <w:widowControl w:val="0"/>
        <w:ind w:left="340" w:right="340"/>
        <w:jc w:val="both"/>
        <w:rPr>
          <w:rFonts w:ascii="Arial" w:eastAsia="Arial" w:hAnsi="Arial" w:cs="Arial"/>
          <w:i/>
          <w:iCs/>
          <w:sz w:val="22"/>
          <w:szCs w:val="22"/>
          <w:lang w:val="es-CO"/>
        </w:rPr>
      </w:pPr>
    </w:p>
    <w:p w14:paraId="717CD911" w14:textId="77777777" w:rsidR="005D448F" w:rsidRDefault="005D448F" w:rsidP="005D448F">
      <w:pPr>
        <w:pStyle w:val="Prrafodelista"/>
        <w:widowControl w:val="0"/>
        <w:numPr>
          <w:ilvl w:val="0"/>
          <w:numId w:val="7"/>
        </w:numPr>
        <w:ind w:left="340" w:right="340"/>
        <w:jc w:val="both"/>
        <w:rPr>
          <w:rFonts w:ascii="Arial" w:eastAsia="Arial" w:hAnsi="Arial" w:cs="Arial"/>
          <w:sz w:val="22"/>
          <w:szCs w:val="22"/>
          <w:lang w:val="es-CO"/>
        </w:rPr>
      </w:pPr>
      <w:r>
        <w:rPr>
          <w:rFonts w:ascii="Arial" w:eastAsia="Arial" w:hAnsi="Arial" w:cs="Arial"/>
          <w:sz w:val="22"/>
          <w:szCs w:val="22"/>
          <w:lang w:val="es-CO"/>
        </w:rPr>
        <w:t xml:space="preserve">Inspección y Diagnóstico </w:t>
      </w:r>
    </w:p>
    <w:p w14:paraId="5DA04AC0" w14:textId="77777777" w:rsidR="005D448F" w:rsidRPr="00E20258" w:rsidRDefault="005D448F" w:rsidP="005D448F">
      <w:pPr>
        <w:pStyle w:val="Prrafodelista"/>
        <w:widowControl w:val="0"/>
        <w:ind w:left="340" w:right="340"/>
        <w:jc w:val="both"/>
        <w:rPr>
          <w:rFonts w:ascii="Arial" w:eastAsia="Arial" w:hAnsi="Arial" w:cs="Arial"/>
          <w:i/>
          <w:iCs/>
          <w:sz w:val="22"/>
          <w:szCs w:val="22"/>
          <w:lang w:val="es-CO"/>
        </w:rPr>
      </w:pPr>
    </w:p>
    <w:p w14:paraId="69607F0A" w14:textId="77777777" w:rsidR="005D448F" w:rsidRPr="00E20258" w:rsidRDefault="005D448F" w:rsidP="005D448F">
      <w:pPr>
        <w:widowControl w:val="0"/>
        <w:ind w:left="340" w:right="340"/>
        <w:jc w:val="both"/>
        <w:rPr>
          <w:rFonts w:ascii="Arial" w:eastAsia="Arial" w:hAnsi="Arial" w:cs="Arial"/>
          <w:i/>
          <w:iCs/>
          <w:sz w:val="22"/>
          <w:szCs w:val="22"/>
          <w:lang w:val="es-CO"/>
        </w:rPr>
      </w:pPr>
      <w:r w:rsidRPr="00E20258">
        <w:rPr>
          <w:rFonts w:ascii="Arial" w:eastAsia="Arial" w:hAnsi="Arial" w:cs="Arial"/>
          <w:i/>
          <w:iCs/>
          <w:sz w:val="22"/>
          <w:szCs w:val="22"/>
          <w:lang w:val="es-CO"/>
        </w:rPr>
        <w:t>Durante la visita técnica se identificaron las siguientes afectaciones:</w:t>
      </w:r>
    </w:p>
    <w:p w14:paraId="35F693ED" w14:textId="77777777" w:rsidR="005D448F" w:rsidRPr="00E20258" w:rsidRDefault="005D448F" w:rsidP="005D448F">
      <w:pPr>
        <w:widowControl w:val="0"/>
        <w:ind w:left="340" w:right="340"/>
        <w:jc w:val="both"/>
        <w:rPr>
          <w:rFonts w:ascii="Arial" w:eastAsia="Arial" w:hAnsi="Arial" w:cs="Arial"/>
          <w:i/>
          <w:iCs/>
          <w:sz w:val="22"/>
          <w:szCs w:val="22"/>
          <w:lang w:val="es-CO"/>
        </w:rPr>
      </w:pPr>
    </w:p>
    <w:p w14:paraId="4F95B726" w14:textId="77777777" w:rsidR="005D448F" w:rsidRDefault="005D448F" w:rsidP="005D448F">
      <w:pPr>
        <w:pStyle w:val="Prrafodelista"/>
        <w:widowControl w:val="0"/>
        <w:numPr>
          <w:ilvl w:val="0"/>
          <w:numId w:val="6"/>
        </w:numPr>
        <w:ind w:left="340" w:right="340"/>
        <w:jc w:val="both"/>
        <w:rPr>
          <w:rFonts w:ascii="Arial" w:eastAsia="Arial" w:hAnsi="Arial" w:cs="Arial"/>
          <w:i/>
          <w:iCs/>
          <w:sz w:val="22"/>
          <w:szCs w:val="22"/>
          <w:lang w:val="es-CO"/>
        </w:rPr>
      </w:pPr>
      <w:r w:rsidRPr="00E20258">
        <w:rPr>
          <w:rFonts w:ascii="Arial" w:eastAsia="Arial" w:hAnsi="Arial" w:cs="Arial"/>
          <w:i/>
          <w:iCs/>
          <w:sz w:val="22"/>
          <w:szCs w:val="22"/>
          <w:lang w:val="es-CO"/>
        </w:rPr>
        <w:t>Presencia de hongos, soplos de pintura y descascaramientos ocasionados por humedad en el techo de la zona de cocina y ropas</w:t>
      </w:r>
      <w:r>
        <w:rPr>
          <w:rFonts w:ascii="Arial" w:eastAsia="Arial" w:hAnsi="Arial" w:cs="Arial"/>
          <w:i/>
          <w:iCs/>
          <w:sz w:val="22"/>
          <w:szCs w:val="22"/>
          <w:lang w:val="es-CO"/>
        </w:rPr>
        <w:t xml:space="preserve">. </w:t>
      </w:r>
    </w:p>
    <w:p w14:paraId="3DA014A8" w14:textId="77777777" w:rsidR="005D448F" w:rsidRDefault="005D448F" w:rsidP="005D448F">
      <w:pPr>
        <w:pStyle w:val="Prrafodelista"/>
        <w:widowControl w:val="0"/>
        <w:numPr>
          <w:ilvl w:val="0"/>
          <w:numId w:val="6"/>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Fisuras y deterioro de pintura en los bordes de ventanas y en las juntas de dilación de las alcobas.</w:t>
      </w:r>
    </w:p>
    <w:p w14:paraId="4145416E" w14:textId="77777777" w:rsidR="005D448F" w:rsidRDefault="005D448F" w:rsidP="005D448F">
      <w:pPr>
        <w:pStyle w:val="Prrafodelista"/>
        <w:widowControl w:val="0"/>
        <w:numPr>
          <w:ilvl w:val="0"/>
          <w:numId w:val="6"/>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Presencia de hongos y descascaramiento de pintura en el área de baño y cocina. </w:t>
      </w:r>
    </w:p>
    <w:p w14:paraId="18EBEEFB" w14:textId="77777777" w:rsidR="005D448F" w:rsidRDefault="005D448F" w:rsidP="005D448F">
      <w:pPr>
        <w:widowControl w:val="0"/>
        <w:ind w:left="340" w:right="340"/>
        <w:jc w:val="both"/>
        <w:rPr>
          <w:rFonts w:ascii="Arial" w:eastAsia="Arial" w:hAnsi="Arial" w:cs="Arial"/>
          <w:i/>
          <w:iCs/>
          <w:sz w:val="22"/>
          <w:szCs w:val="22"/>
          <w:lang w:val="es-CO"/>
        </w:rPr>
      </w:pPr>
    </w:p>
    <w:p w14:paraId="2E3BDABE" w14:textId="77777777" w:rsidR="005D448F" w:rsidRDefault="005D448F" w:rsidP="005D448F">
      <w:pPr>
        <w:pStyle w:val="Prrafodelista"/>
        <w:widowControl w:val="0"/>
        <w:numPr>
          <w:ilvl w:val="0"/>
          <w:numId w:val="7"/>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Actividades Realizadas </w:t>
      </w:r>
    </w:p>
    <w:p w14:paraId="49437068" w14:textId="77777777" w:rsidR="005D448F" w:rsidRDefault="005D448F" w:rsidP="005D448F">
      <w:pPr>
        <w:widowControl w:val="0"/>
        <w:ind w:left="340" w:right="340"/>
        <w:jc w:val="both"/>
        <w:rPr>
          <w:rFonts w:ascii="Arial" w:eastAsia="Arial" w:hAnsi="Arial" w:cs="Arial"/>
          <w:i/>
          <w:iCs/>
          <w:sz w:val="22"/>
          <w:szCs w:val="22"/>
          <w:lang w:val="es-CO"/>
        </w:rPr>
      </w:pPr>
    </w:p>
    <w:p w14:paraId="3B3C2743" w14:textId="77777777" w:rsidR="005D448F" w:rsidRDefault="005D448F" w:rsidP="005D448F">
      <w:pPr>
        <w:widowControl w:val="0"/>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Con base en el diagnóstico anterior, se ejecutaron las siguientes actividades de reparación y mejora: </w:t>
      </w:r>
    </w:p>
    <w:p w14:paraId="0DBB1B3F" w14:textId="77777777" w:rsidR="005D448F" w:rsidRDefault="005D448F" w:rsidP="005D448F">
      <w:pPr>
        <w:widowControl w:val="0"/>
        <w:ind w:left="340" w:right="340"/>
        <w:jc w:val="both"/>
        <w:rPr>
          <w:rFonts w:ascii="Arial" w:eastAsia="Arial" w:hAnsi="Arial" w:cs="Arial"/>
          <w:i/>
          <w:iCs/>
          <w:sz w:val="22"/>
          <w:szCs w:val="22"/>
          <w:lang w:val="es-CO"/>
        </w:rPr>
      </w:pPr>
    </w:p>
    <w:p w14:paraId="5E10F48F" w14:textId="77777777" w:rsidR="005D448F" w:rsidRDefault="005D448F" w:rsidP="005D448F">
      <w:pPr>
        <w:pStyle w:val="Prrafodelista"/>
        <w:widowControl w:val="0"/>
        <w:numPr>
          <w:ilvl w:val="0"/>
          <w:numId w:val="8"/>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Limpieza y desinfección de hongos en superficies afectadas. </w:t>
      </w:r>
    </w:p>
    <w:p w14:paraId="4B830663" w14:textId="77777777" w:rsidR="005D448F" w:rsidRDefault="005D448F" w:rsidP="005D448F">
      <w:pPr>
        <w:pStyle w:val="Prrafodelista"/>
        <w:widowControl w:val="0"/>
        <w:numPr>
          <w:ilvl w:val="0"/>
          <w:numId w:val="8"/>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Retiro de pintura y estuco deteriorado por humedad. </w:t>
      </w:r>
    </w:p>
    <w:p w14:paraId="7C98E824" w14:textId="77777777" w:rsidR="005D448F" w:rsidRDefault="005D448F" w:rsidP="005D448F">
      <w:pPr>
        <w:pStyle w:val="Prrafodelista"/>
        <w:widowControl w:val="0"/>
        <w:numPr>
          <w:ilvl w:val="0"/>
          <w:numId w:val="8"/>
        </w:numPr>
        <w:ind w:left="340" w:right="340"/>
        <w:jc w:val="both"/>
        <w:rPr>
          <w:rFonts w:ascii="Arial" w:eastAsia="Arial" w:hAnsi="Arial" w:cs="Arial"/>
          <w:i/>
          <w:iCs/>
          <w:sz w:val="22"/>
          <w:szCs w:val="22"/>
          <w:lang w:val="es-CO"/>
        </w:rPr>
      </w:pPr>
      <w:r>
        <w:rPr>
          <w:rFonts w:ascii="Arial" w:eastAsia="Arial" w:hAnsi="Arial" w:cs="Arial"/>
          <w:i/>
          <w:iCs/>
          <w:sz w:val="22"/>
          <w:szCs w:val="22"/>
          <w:lang w:val="es-CO"/>
        </w:rPr>
        <w:t xml:space="preserve">Sellado de fisuras utilizando los productos especializados Illbruck SP 523 y Verticoat </w:t>
      </w:r>
      <w:r>
        <w:rPr>
          <w:rFonts w:ascii="Arial" w:eastAsia="Arial" w:hAnsi="Arial" w:cs="Arial"/>
          <w:i/>
          <w:iCs/>
          <w:sz w:val="22"/>
          <w:szCs w:val="22"/>
          <w:lang w:val="es-CO"/>
        </w:rPr>
        <w:lastRenderedPageBreak/>
        <w:t xml:space="preserve">1. </w:t>
      </w:r>
    </w:p>
    <w:p w14:paraId="110EA7AA" w14:textId="77777777" w:rsidR="005D448F" w:rsidRPr="009B1899" w:rsidRDefault="005D448F" w:rsidP="005D448F">
      <w:pPr>
        <w:pStyle w:val="Prrafodelista"/>
        <w:widowControl w:val="0"/>
        <w:numPr>
          <w:ilvl w:val="0"/>
          <w:numId w:val="8"/>
        </w:numPr>
        <w:ind w:left="340" w:right="340"/>
        <w:jc w:val="both"/>
        <w:rPr>
          <w:rFonts w:ascii="Arial" w:eastAsia="Arial" w:hAnsi="Arial" w:cs="Arial"/>
          <w:i/>
          <w:iCs/>
          <w:sz w:val="22"/>
          <w:szCs w:val="22"/>
          <w:lang w:val="es-CO"/>
        </w:rPr>
      </w:pPr>
      <w:r w:rsidRPr="009B1899">
        <w:rPr>
          <w:rFonts w:ascii="Arial" w:eastAsia="Arial" w:hAnsi="Arial" w:cs="Arial"/>
          <w:i/>
          <w:iCs/>
          <w:sz w:val="22"/>
          <w:szCs w:val="22"/>
          <w:lang w:val="es-CO"/>
        </w:rPr>
        <w:t>Aplicación de pintura vinílica tipo 1 antihongos en la totalidad del apartamento.</w:t>
      </w:r>
    </w:p>
    <w:p w14:paraId="7A42DE86" w14:textId="77777777" w:rsidR="005D448F" w:rsidRPr="009B1899" w:rsidRDefault="005D448F" w:rsidP="005D448F">
      <w:pPr>
        <w:widowControl w:val="0"/>
        <w:ind w:left="340" w:right="340"/>
        <w:jc w:val="both"/>
        <w:rPr>
          <w:rFonts w:ascii="Arial" w:eastAsia="Arial" w:hAnsi="Arial" w:cs="Arial"/>
          <w:i/>
          <w:iCs/>
          <w:sz w:val="22"/>
          <w:szCs w:val="22"/>
          <w:lang w:val="es-CO"/>
        </w:rPr>
      </w:pPr>
    </w:p>
    <w:p w14:paraId="725FBC9A" w14:textId="77777777" w:rsidR="005D448F" w:rsidRPr="009B1899" w:rsidRDefault="005D448F" w:rsidP="005D448F">
      <w:pPr>
        <w:pStyle w:val="Prrafodelista"/>
        <w:widowControl w:val="0"/>
        <w:numPr>
          <w:ilvl w:val="0"/>
          <w:numId w:val="7"/>
        </w:numPr>
        <w:ind w:left="340" w:right="340"/>
        <w:jc w:val="both"/>
        <w:rPr>
          <w:rFonts w:ascii="Arial" w:eastAsia="Arial" w:hAnsi="Arial" w:cs="Arial"/>
          <w:i/>
          <w:iCs/>
          <w:sz w:val="22"/>
          <w:szCs w:val="22"/>
          <w:lang w:val="es-CO"/>
        </w:rPr>
      </w:pPr>
      <w:r w:rsidRPr="009B1899">
        <w:rPr>
          <w:rFonts w:ascii="Arial" w:eastAsia="Arial" w:hAnsi="Arial" w:cs="Arial"/>
          <w:i/>
          <w:iCs/>
          <w:sz w:val="22"/>
          <w:szCs w:val="22"/>
          <w:lang w:val="es-CO"/>
        </w:rPr>
        <w:t xml:space="preserve">Entrega y Validación </w:t>
      </w:r>
    </w:p>
    <w:p w14:paraId="5DD35EF3" w14:textId="77777777" w:rsidR="005D448F" w:rsidRPr="009B1899" w:rsidRDefault="005D448F" w:rsidP="005D448F">
      <w:pPr>
        <w:widowControl w:val="0"/>
        <w:ind w:left="340" w:right="340"/>
        <w:jc w:val="both"/>
        <w:rPr>
          <w:rFonts w:ascii="Arial" w:eastAsia="Arial" w:hAnsi="Arial" w:cs="Arial"/>
          <w:i/>
          <w:iCs/>
          <w:sz w:val="22"/>
          <w:szCs w:val="22"/>
          <w:lang w:val="es-CO"/>
        </w:rPr>
      </w:pPr>
    </w:p>
    <w:p w14:paraId="7F3658DC" w14:textId="209E6416" w:rsidR="00965B42" w:rsidRPr="005D448F" w:rsidRDefault="005D448F" w:rsidP="005D448F">
      <w:pPr>
        <w:widowControl w:val="0"/>
        <w:ind w:left="340" w:right="340"/>
        <w:jc w:val="both"/>
        <w:rPr>
          <w:rFonts w:ascii="Arial" w:eastAsia="Arial" w:hAnsi="Arial" w:cs="Arial"/>
          <w:i/>
          <w:iCs/>
          <w:sz w:val="22"/>
          <w:szCs w:val="22"/>
          <w:lang w:val="es-CO"/>
        </w:rPr>
      </w:pPr>
      <w:r w:rsidRPr="009B1899">
        <w:rPr>
          <w:rFonts w:ascii="Arial" w:eastAsia="Arial" w:hAnsi="Arial" w:cs="Arial"/>
          <w:i/>
          <w:iCs/>
          <w:sz w:val="22"/>
          <w:szCs w:val="22"/>
          <w:lang w:val="es-CO"/>
        </w:rPr>
        <w:t xml:space="preserve">Los trabajos fueron culminados y entregados a satisfacción al señor Cristian Plaza el día 15 de diciembre de 2025, quien validó la correcta ejecución de las actividades realizadas en su unidad residencial </w:t>
      </w:r>
      <w:r w:rsidRPr="00C019B3">
        <w:rPr>
          <w:rFonts w:ascii="Arial" w:eastAsia="Arial" w:hAnsi="Arial" w:cs="Arial"/>
          <w:i/>
          <w:iCs/>
          <w:sz w:val="22"/>
          <w:szCs w:val="22"/>
          <w:lang w:val="es-CO"/>
        </w:rPr>
        <w:t>(…)”</w:t>
      </w:r>
    </w:p>
    <w:p w14:paraId="2E0BEFED" w14:textId="77777777" w:rsidR="008762AE" w:rsidRDefault="008762AE">
      <w:pPr>
        <w:jc w:val="both"/>
        <w:rPr>
          <w:rFonts w:ascii="Arial" w:eastAsia="Arial" w:hAnsi="Arial" w:cs="Arial"/>
          <w:b/>
          <w:bCs/>
          <w:sz w:val="22"/>
          <w:szCs w:val="22"/>
        </w:rPr>
      </w:pPr>
    </w:p>
    <w:p w14:paraId="1B001810" w14:textId="01740C87" w:rsidR="008762AE" w:rsidRDefault="001673E7">
      <w:pPr>
        <w:autoSpaceDE w:val="0"/>
        <w:autoSpaceDN w:val="0"/>
        <w:adjustRightInd w:val="0"/>
        <w:jc w:val="both"/>
        <w:rPr>
          <w:rFonts w:ascii="Arial" w:eastAsia="Arial" w:hAnsi="Arial" w:cs="Arial"/>
          <w:b/>
          <w:bCs/>
          <w:sz w:val="22"/>
          <w:szCs w:val="22"/>
        </w:rPr>
      </w:pPr>
      <w:r>
        <w:rPr>
          <w:rFonts w:ascii="Arial" w:hAnsi="Arial" w:cs="Arial"/>
          <w:sz w:val="22"/>
          <w:szCs w:val="22"/>
          <w:lang w:val="es-CO" w:eastAsia="es-ES"/>
        </w:rPr>
        <w:t xml:space="preserve">Se tiene que, de acuerdo a la  acreditación de cumplimiento, que las deficiencias constructivas fueron realizadas por la parte enajenadora, </w:t>
      </w:r>
      <w:r w:rsidR="001B0860">
        <w:rPr>
          <w:rFonts w:ascii="Arial" w:hAnsi="Arial" w:cs="Arial"/>
          <w:sz w:val="22"/>
          <w:szCs w:val="22"/>
          <w:lang w:val="es-CO" w:eastAsia="es-ES"/>
        </w:rPr>
        <w:t>estas deben</w:t>
      </w:r>
      <w:r>
        <w:rPr>
          <w:rFonts w:ascii="Arial" w:hAnsi="Arial" w:cs="Arial"/>
          <w:sz w:val="22"/>
          <w:szCs w:val="22"/>
          <w:lang w:eastAsia="es-ES"/>
        </w:rPr>
        <w:t xml:space="preserve"> cumplir con las condiciones de calidad, adoptando las condiciones técnicas señaladas en el Decreto 572 de 2015 y al acto administrativo sancionatorio que impuso la obligación, pero de acuerdo con la citada acreditación, los hechos ya no persisten, razón por la cual, no queda otro camino que culminar la presente actuación.</w:t>
      </w:r>
      <w:r>
        <w:rPr>
          <w:rFonts w:ascii="Arial" w:hAnsi="Arial" w:cs="Arial"/>
          <w:sz w:val="22"/>
          <w:szCs w:val="22"/>
          <w:lang w:val="es-CO" w:eastAsia="es-ES"/>
        </w:rPr>
        <w:t xml:space="preserve"> </w:t>
      </w:r>
    </w:p>
    <w:p w14:paraId="6DA7E3CB" w14:textId="77777777" w:rsidR="008762AE" w:rsidRDefault="008762AE">
      <w:pPr>
        <w:jc w:val="both"/>
        <w:rPr>
          <w:rFonts w:ascii="Arial" w:eastAsia="Arial" w:hAnsi="Arial" w:cs="Arial"/>
          <w:b/>
          <w:bCs/>
          <w:sz w:val="22"/>
          <w:szCs w:val="22"/>
        </w:rPr>
      </w:pPr>
    </w:p>
    <w:p w14:paraId="31236C29" w14:textId="0E928718" w:rsidR="008762AE" w:rsidRPr="000E184E" w:rsidRDefault="001673E7">
      <w:pPr>
        <w:jc w:val="both"/>
        <w:rPr>
          <w:rFonts w:ascii="Arial" w:hAnsi="Arial" w:cs="Arial"/>
          <w:color w:val="000000"/>
          <w:sz w:val="22"/>
          <w:szCs w:val="22"/>
          <w:lang w:eastAsia="es-ES"/>
        </w:rPr>
      </w:pPr>
      <w:r>
        <w:rPr>
          <w:rFonts w:ascii="Arial" w:hAnsi="Arial" w:cs="Arial"/>
          <w:sz w:val="22"/>
          <w:szCs w:val="22"/>
          <w:lang w:eastAsia="es-ES"/>
        </w:rPr>
        <w:t xml:space="preserve">Así las cosas, este Despacho concluye que, habiéndose recibido acreditación de cumplimiento por parte de la sociedad enajenadora </w:t>
      </w:r>
      <w:r>
        <w:rPr>
          <w:rFonts w:ascii="Arial" w:eastAsia="Arial" w:hAnsi="Arial" w:cs="Arial"/>
          <w:sz w:val="22"/>
          <w:szCs w:val="22"/>
          <w:highlight w:val="white"/>
        </w:rPr>
        <w:t>SUPREMA CONSTRUCTORA S.A.S</w:t>
      </w:r>
      <w:r>
        <w:rPr>
          <w:rFonts w:ascii="Arial" w:hAnsi="Arial" w:cs="Arial"/>
          <w:sz w:val="22"/>
          <w:szCs w:val="22"/>
          <w:lang w:eastAsia="es-ES"/>
        </w:rPr>
        <w:t xml:space="preserve">, adjunto con informe </w:t>
      </w:r>
      <w:r>
        <w:rPr>
          <w:rFonts w:ascii="Arial" w:hAnsi="Arial" w:cs="Arial"/>
          <w:color w:val="000000"/>
          <w:sz w:val="22"/>
          <w:szCs w:val="22"/>
          <w:lang w:eastAsia="es-ES"/>
        </w:rPr>
        <w:t xml:space="preserve">de la copropiedad </w:t>
      </w:r>
      <w:r>
        <w:rPr>
          <w:rFonts w:ascii="Arial" w:eastAsia="Arial" w:hAnsi="Arial" w:cs="Arial"/>
          <w:color w:val="000000"/>
          <w:sz w:val="22"/>
          <w:szCs w:val="22"/>
        </w:rPr>
        <w:t xml:space="preserve">CONJUNTO RESIDENCIAL CAMINO DE TORCA - PROPIEDAD </w:t>
      </w:r>
      <w:r w:rsidRPr="000E184E">
        <w:rPr>
          <w:rFonts w:ascii="Arial" w:eastAsia="Arial" w:hAnsi="Arial" w:cs="Arial"/>
          <w:sz w:val="22"/>
          <w:szCs w:val="22"/>
        </w:rPr>
        <w:t>HORIZONTAL</w:t>
      </w:r>
      <w:r w:rsidRPr="000E184E">
        <w:rPr>
          <w:rFonts w:ascii="Arial" w:hAnsi="Arial" w:cs="Arial"/>
          <w:sz w:val="22"/>
          <w:szCs w:val="22"/>
          <w:lang w:eastAsia="es-ES"/>
        </w:rPr>
        <w:t xml:space="preserve">, en el cual se acredita el cumplimiento de la orden de hacer consistente en: </w:t>
      </w:r>
      <w:r w:rsidR="000E184E" w:rsidRPr="000E184E">
        <w:rPr>
          <w:rFonts w:ascii="Arial" w:eastAsia="Arial" w:hAnsi="Arial" w:cs="Arial"/>
          <w:i/>
          <w:iCs/>
          <w:sz w:val="22"/>
          <w:szCs w:val="22"/>
        </w:rPr>
        <w:t>"</w:t>
      </w:r>
      <w:r w:rsidR="000E184E" w:rsidRPr="000E184E">
        <w:rPr>
          <w:rFonts w:ascii="Arial" w:eastAsia="Arial" w:hAnsi="Arial" w:cs="Arial"/>
          <w:b/>
          <w:bCs/>
          <w:i/>
          <w:iCs/>
          <w:sz w:val="22"/>
          <w:szCs w:val="22"/>
        </w:rPr>
        <w:t>3. Humedades y fisuras en el techo de entrada principal, cocina, zona de ropas, sala, comedor, alcoba 2, estudio, alcoba principal y baño alcoba principal</w:t>
      </w:r>
      <w:r w:rsidR="000E184E" w:rsidRPr="000E184E">
        <w:rPr>
          <w:rFonts w:ascii="Arial" w:eastAsia="Arial" w:hAnsi="Arial" w:cs="Arial"/>
          <w:i/>
          <w:iCs/>
          <w:sz w:val="22"/>
          <w:szCs w:val="22"/>
        </w:rPr>
        <w:t>".</w:t>
      </w:r>
      <w:r w:rsidR="000E184E" w:rsidRPr="000E184E">
        <w:rPr>
          <w:rFonts w:ascii="Arial" w:hAnsi="Arial" w:cs="Arial"/>
          <w:sz w:val="22"/>
          <w:szCs w:val="22"/>
          <w:lang w:eastAsia="es-ES"/>
        </w:rPr>
        <w:t xml:space="preserve"> </w:t>
      </w:r>
      <w:r w:rsidRPr="000E184E">
        <w:rPr>
          <w:rFonts w:ascii="Arial" w:hAnsi="Arial" w:cs="Arial"/>
          <w:sz w:val="22"/>
          <w:szCs w:val="22"/>
          <w:lang w:eastAsia="es-ES"/>
        </w:rPr>
        <w:t xml:space="preserve">En consecuencia, se entiende cumplida la orden de hacer impartida en la </w:t>
      </w:r>
      <w:r w:rsidRPr="000E184E">
        <w:rPr>
          <w:rFonts w:ascii="Arial" w:eastAsia="Arial" w:hAnsi="Arial" w:cs="Arial"/>
          <w:sz w:val="22"/>
          <w:szCs w:val="22"/>
        </w:rPr>
        <w:t>Resolución No. 2484 del 24 de octubre de 2023</w:t>
      </w:r>
      <w:r w:rsidRPr="000E184E">
        <w:rPr>
          <w:rFonts w:ascii="Arial" w:hAnsi="Arial" w:cs="Arial"/>
          <w:sz w:val="22"/>
          <w:szCs w:val="22"/>
          <w:lang w:eastAsia="es-ES"/>
        </w:rPr>
        <w:t xml:space="preserve"> “</w:t>
      </w:r>
      <w:r w:rsidRPr="000E184E">
        <w:rPr>
          <w:rFonts w:ascii="Arial" w:hAnsi="Arial" w:cs="Arial"/>
          <w:i/>
          <w:iCs/>
          <w:sz w:val="22"/>
          <w:szCs w:val="22"/>
          <w:lang w:eastAsia="es-ES"/>
        </w:rPr>
        <w:t>Por la cual se impone una sanción y se imparte una orden</w:t>
      </w:r>
      <w:r w:rsidRPr="000E184E">
        <w:rPr>
          <w:rFonts w:ascii="Arial" w:hAnsi="Arial" w:cs="Arial"/>
          <w:sz w:val="22"/>
          <w:szCs w:val="22"/>
          <w:lang w:eastAsia="es-ES"/>
        </w:rPr>
        <w:t>” por lo cual no resulta necesario adelantar nuevas actuaciones de seguimiento.</w:t>
      </w:r>
    </w:p>
    <w:p w14:paraId="36F92681" w14:textId="77777777" w:rsidR="008762AE" w:rsidRDefault="008762AE">
      <w:pPr>
        <w:jc w:val="both"/>
        <w:rPr>
          <w:rFonts w:ascii="Arial" w:eastAsia="Arial" w:hAnsi="Arial" w:cs="Arial"/>
          <w:b/>
          <w:bCs/>
          <w:sz w:val="22"/>
          <w:szCs w:val="22"/>
        </w:rPr>
      </w:pPr>
    </w:p>
    <w:p w14:paraId="0F46F2E4" w14:textId="77777777" w:rsidR="008762AE" w:rsidRDefault="001673E7">
      <w:pPr>
        <w:jc w:val="both"/>
        <w:rPr>
          <w:rFonts w:ascii="Arial" w:eastAsia="Arial" w:hAnsi="Arial" w:cs="Arial"/>
          <w:b/>
          <w:bCs/>
          <w:sz w:val="22"/>
          <w:szCs w:val="22"/>
        </w:rPr>
      </w:pPr>
      <w:r>
        <w:rPr>
          <w:rFonts w:ascii="Arial" w:hAnsi="Arial" w:cs="Arial"/>
          <w:sz w:val="22"/>
          <w:szCs w:val="22"/>
          <w:lang w:eastAsia="es-ES"/>
        </w:rPr>
        <w:t>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w:t>
      </w:r>
    </w:p>
    <w:p w14:paraId="2FE0C801" w14:textId="77777777" w:rsidR="008762AE" w:rsidRDefault="008762AE">
      <w:pPr>
        <w:jc w:val="both"/>
        <w:rPr>
          <w:rFonts w:ascii="Arial" w:eastAsia="Arial" w:hAnsi="Arial" w:cs="Arial"/>
          <w:b/>
          <w:bCs/>
          <w:sz w:val="22"/>
          <w:szCs w:val="22"/>
        </w:rPr>
      </w:pPr>
    </w:p>
    <w:p w14:paraId="5D65AA86" w14:textId="77777777" w:rsidR="008762AE" w:rsidRDefault="001673E7">
      <w:pPr>
        <w:jc w:val="both"/>
        <w:rPr>
          <w:rFonts w:ascii="Arial" w:eastAsia="Arial" w:hAnsi="Arial" w:cs="Arial"/>
          <w:b/>
          <w:bCs/>
          <w:sz w:val="22"/>
          <w:szCs w:val="22"/>
        </w:rPr>
      </w:pPr>
      <w:r>
        <w:rPr>
          <w:rFonts w:ascii="Arial" w:hAnsi="Arial" w:cs="Arial"/>
          <w:sz w:val="22"/>
          <w:szCs w:val="22"/>
          <w:lang w:eastAsia="es-ES"/>
        </w:rPr>
        <w:t xml:space="preserve">En efecto, para que esta Dirección proceda a eliminar o eximir a un vigilado del cumplimiento de una orden de hacer es menester que se constante alguna de las siguientes circunstancias: </w:t>
      </w:r>
      <w:r>
        <w:rPr>
          <w:rFonts w:ascii="Arial" w:hAnsi="Arial" w:cs="Arial"/>
          <w:b/>
          <w:bCs/>
          <w:sz w:val="22"/>
          <w:szCs w:val="22"/>
          <w:lang w:eastAsia="es-ES"/>
        </w:rPr>
        <w:t xml:space="preserve">i) que dicha acción se ha cumplido o ii) que la misma es imposible de realizar, </w:t>
      </w:r>
      <w:r>
        <w:rPr>
          <w:rFonts w:ascii="Arial" w:hAnsi="Arial" w:cs="Arial"/>
          <w:sz w:val="22"/>
          <w:szCs w:val="22"/>
          <w:lang w:eastAsia="es-ES"/>
        </w:rPr>
        <w:t>como ha quedado probado.</w:t>
      </w:r>
      <w:r>
        <w:rPr>
          <w:rFonts w:ascii="Arial" w:hAnsi="Arial" w:cs="Arial"/>
          <w:b/>
          <w:bCs/>
          <w:sz w:val="22"/>
          <w:szCs w:val="22"/>
          <w:lang w:eastAsia="es-ES"/>
        </w:rPr>
        <w:t xml:space="preserve"> </w:t>
      </w:r>
      <w:r>
        <w:rPr>
          <w:rFonts w:ascii="Arial" w:hAnsi="Arial" w:cs="Arial"/>
          <w:sz w:val="22"/>
          <w:szCs w:val="22"/>
          <w:lang w:eastAsia="es-ES"/>
        </w:rPr>
        <w:t xml:space="preserve"> </w:t>
      </w:r>
    </w:p>
    <w:p w14:paraId="204BC08E" w14:textId="77777777" w:rsidR="008762AE" w:rsidRDefault="008762AE">
      <w:pPr>
        <w:jc w:val="both"/>
        <w:rPr>
          <w:rFonts w:ascii="Arial" w:eastAsia="Arial" w:hAnsi="Arial" w:cs="Arial"/>
          <w:b/>
          <w:bCs/>
          <w:sz w:val="22"/>
          <w:szCs w:val="22"/>
        </w:rPr>
      </w:pPr>
    </w:p>
    <w:p w14:paraId="1526D451" w14:textId="77777777" w:rsidR="008762AE" w:rsidRDefault="001673E7">
      <w:pPr>
        <w:jc w:val="both"/>
        <w:rPr>
          <w:rFonts w:ascii="Arial" w:eastAsia="Arial" w:hAnsi="Arial" w:cs="Arial"/>
          <w:b/>
          <w:bCs/>
          <w:sz w:val="22"/>
          <w:szCs w:val="22"/>
        </w:rPr>
      </w:pPr>
      <w:r>
        <w:rPr>
          <w:rFonts w:ascii="Arial" w:hAnsi="Arial" w:cs="Arial"/>
          <w:sz w:val="22"/>
          <w:szCs w:val="22"/>
          <w:lang w:eastAsia="es-ES"/>
        </w:rPr>
        <w:t xml:space="preserve">Así pues, dado que, en la acreditación de cumplimiento con radicado </w:t>
      </w:r>
      <w:r>
        <w:rPr>
          <w:rFonts w:ascii="Arial" w:eastAsia="Arial" w:hAnsi="Arial" w:cs="Arial"/>
          <w:sz w:val="22"/>
          <w:szCs w:val="22"/>
        </w:rPr>
        <w:t>1-2025-64262 del 18 de diciembre de 2025</w:t>
      </w:r>
      <w:r>
        <w:rPr>
          <w:rFonts w:ascii="Arial" w:hAnsi="Arial" w:cs="Arial"/>
          <w:sz w:val="22"/>
          <w:szCs w:val="22"/>
          <w:lang w:eastAsia="es-ES"/>
        </w:rPr>
        <w:t xml:space="preserve">, como se ha dicho, se evidencia </w:t>
      </w:r>
      <w:r>
        <w:rPr>
          <w:rFonts w:ascii="Arial" w:hAnsi="Arial" w:cs="Arial"/>
          <w:b/>
          <w:bCs/>
          <w:sz w:val="22"/>
          <w:szCs w:val="22"/>
          <w:lang w:eastAsia="es-ES"/>
        </w:rPr>
        <w:t>i) que dicha acción se ha cumplido</w:t>
      </w:r>
      <w:r>
        <w:rPr>
          <w:rFonts w:ascii="Arial" w:hAnsi="Arial" w:cs="Arial"/>
          <w:sz w:val="22"/>
          <w:szCs w:val="22"/>
          <w:lang w:eastAsia="es-ES"/>
        </w:rPr>
        <w:t xml:space="preserve">, este se constituye en una prueba conducente, pertinente y útil, y por tanto demostrativa de los hallazgos que en el mismo se consignan, junto con los anexos e informes de la administración de la copropiedad </w:t>
      </w:r>
      <w:r>
        <w:rPr>
          <w:rFonts w:ascii="Arial" w:eastAsia="Arial" w:hAnsi="Arial" w:cs="Arial"/>
          <w:sz w:val="22"/>
          <w:szCs w:val="22"/>
        </w:rPr>
        <w:t xml:space="preserve">CONJUNTO RESIDENCIAL CAMINO DE TORCA - </w:t>
      </w:r>
      <w:r>
        <w:rPr>
          <w:rFonts w:ascii="Arial" w:eastAsia="Arial" w:hAnsi="Arial" w:cs="Arial"/>
          <w:sz w:val="22"/>
          <w:szCs w:val="22"/>
        </w:rPr>
        <w:lastRenderedPageBreak/>
        <w:t>PROPIEDAD HORIZONTAL</w:t>
      </w:r>
      <w:r>
        <w:rPr>
          <w:rFonts w:ascii="Arial" w:hAnsi="Arial" w:cs="Arial"/>
          <w:sz w:val="22"/>
          <w:szCs w:val="22"/>
          <w:lang w:eastAsia="es-ES"/>
        </w:rPr>
        <w:t>, se demuestra de manera suficiente la solución definitiva de las deficiencias constructivas y/o desmejoramientos de las especificaciones técnicas.</w:t>
      </w:r>
    </w:p>
    <w:p w14:paraId="0DABDAE8" w14:textId="77777777" w:rsidR="008762AE" w:rsidRDefault="008762AE">
      <w:pPr>
        <w:jc w:val="both"/>
        <w:rPr>
          <w:rFonts w:ascii="Arial" w:eastAsia="Arial" w:hAnsi="Arial" w:cs="Arial"/>
          <w:b/>
          <w:bCs/>
          <w:sz w:val="22"/>
          <w:szCs w:val="22"/>
        </w:rPr>
      </w:pPr>
    </w:p>
    <w:p w14:paraId="14F9A198" w14:textId="77777777" w:rsidR="008762AE" w:rsidRDefault="001673E7">
      <w:pPr>
        <w:jc w:val="both"/>
        <w:rPr>
          <w:rFonts w:ascii="Arial" w:eastAsia="Arial" w:hAnsi="Arial" w:cs="Arial"/>
          <w:b/>
          <w:bCs/>
          <w:sz w:val="22"/>
          <w:szCs w:val="22"/>
        </w:rPr>
      </w:pPr>
      <w:r>
        <w:rPr>
          <w:rFonts w:ascii="Arial" w:hAnsi="Arial" w:cs="Arial"/>
          <w:sz w:val="22"/>
          <w:szCs w:val="22"/>
          <w:lang w:eastAsia="es-ES"/>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este Despacho concluye que corresponde dar por culminada la presente actuación administrativa, al haberse verificado el cumplimiento de la orden de hacer impartida, no sin antes recordarle a la enajenadora </w:t>
      </w:r>
      <w:r>
        <w:rPr>
          <w:rFonts w:ascii="Arial" w:eastAsia="Arial" w:hAnsi="Arial" w:cs="Arial"/>
          <w:sz w:val="22"/>
          <w:szCs w:val="22"/>
          <w:highlight w:val="white"/>
        </w:rPr>
        <w:t>SUPREMA CONSTRUCTORA S.A.S</w:t>
      </w:r>
      <w:r>
        <w:rPr>
          <w:rFonts w:ascii="Arial" w:hAnsi="Arial" w:cs="Arial"/>
          <w:sz w:val="22"/>
          <w:szCs w:val="22"/>
          <w:lang w:eastAsia="es-ES"/>
        </w:rPr>
        <w:t>, la importancia de mantener el cumplimiento de las obligaciones establecidas en la normativa vigente y de atender oportunamente las órdenes que en adelante sean emitidas por este Despacho.</w:t>
      </w:r>
      <w:bookmarkEnd w:id="6"/>
    </w:p>
    <w:p w14:paraId="47B8F73F" w14:textId="77777777" w:rsidR="008762AE" w:rsidRDefault="008762AE">
      <w:pPr>
        <w:jc w:val="both"/>
        <w:rPr>
          <w:rFonts w:ascii="Arial" w:eastAsia="Arial" w:hAnsi="Arial" w:cs="Arial"/>
          <w:b/>
          <w:bCs/>
          <w:sz w:val="22"/>
          <w:szCs w:val="22"/>
        </w:rPr>
      </w:pPr>
    </w:p>
    <w:p w14:paraId="1DF1FA1D" w14:textId="77777777" w:rsidR="008762AE" w:rsidRDefault="001673E7">
      <w:pPr>
        <w:autoSpaceDE w:val="0"/>
        <w:autoSpaceDN w:val="0"/>
        <w:adjustRightInd w:val="0"/>
        <w:jc w:val="both"/>
        <w:rPr>
          <w:rFonts w:ascii="Arial" w:eastAsia="Arial" w:hAnsi="Arial" w:cs="Arial"/>
          <w:b/>
          <w:bCs/>
          <w:sz w:val="22"/>
          <w:szCs w:val="22"/>
        </w:rPr>
      </w:pPr>
      <w:r>
        <w:rPr>
          <w:rFonts w:ascii="Arial" w:hAnsi="Arial" w:cs="Arial"/>
          <w:sz w:val="22"/>
          <w:szCs w:val="22"/>
          <w:lang w:eastAsia="es-ES"/>
        </w:rPr>
        <w:t xml:space="preserve">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w:t>
      </w:r>
      <w:r>
        <w:rPr>
          <w:rFonts w:ascii="Arial" w:eastAsia="Arial" w:hAnsi="Arial" w:cs="Arial"/>
          <w:sz w:val="22"/>
          <w:szCs w:val="22"/>
        </w:rPr>
        <w:t>Resolución No. 2484 del 24 de octubre de 2023</w:t>
      </w:r>
      <w:r>
        <w:rPr>
          <w:rFonts w:ascii="Arial" w:hAnsi="Arial" w:cs="Arial"/>
          <w:color w:val="FF0000"/>
          <w:sz w:val="22"/>
          <w:szCs w:val="22"/>
          <w:lang w:val="es-MX" w:eastAsia="es-ES"/>
        </w:rPr>
        <w:t xml:space="preserve"> </w:t>
      </w:r>
      <w:r>
        <w:rPr>
          <w:rFonts w:ascii="Arial" w:hAnsi="Arial" w:cs="Arial"/>
          <w:sz w:val="22"/>
          <w:szCs w:val="22"/>
          <w:lang w:eastAsia="es-ES"/>
        </w:rPr>
        <w:t>“</w:t>
      </w:r>
      <w:r>
        <w:rPr>
          <w:rFonts w:ascii="Arial" w:hAnsi="Arial" w:cs="Arial"/>
          <w:i/>
          <w:iCs/>
          <w:sz w:val="22"/>
          <w:szCs w:val="22"/>
          <w:lang w:eastAsia="es-ES"/>
        </w:rPr>
        <w:t>Por la cual se impone una sanción y se imparte una orden</w:t>
      </w:r>
      <w:r>
        <w:rPr>
          <w:rFonts w:ascii="Arial" w:hAnsi="Arial" w:cs="Arial"/>
          <w:sz w:val="22"/>
          <w:szCs w:val="22"/>
          <w:lang w:eastAsia="es-ES"/>
        </w:rPr>
        <w:t xml:space="preserve">” por lo que, de conformidad con las razones antes expuestas, se dará por terminada la presente actuación, declarándose el cumplimiento de la orden impartida. </w:t>
      </w:r>
    </w:p>
    <w:p w14:paraId="6714F649" w14:textId="77777777" w:rsidR="008762AE" w:rsidRDefault="008762AE">
      <w:pPr>
        <w:autoSpaceDE w:val="0"/>
        <w:autoSpaceDN w:val="0"/>
        <w:adjustRightInd w:val="0"/>
        <w:jc w:val="both"/>
        <w:rPr>
          <w:rFonts w:ascii="Arial" w:eastAsia="Arial" w:hAnsi="Arial" w:cs="Arial"/>
          <w:b/>
          <w:bCs/>
          <w:sz w:val="22"/>
          <w:szCs w:val="22"/>
        </w:rPr>
      </w:pPr>
    </w:p>
    <w:p w14:paraId="2A3940DD" w14:textId="77777777" w:rsidR="008762AE" w:rsidRDefault="001673E7">
      <w:pPr>
        <w:autoSpaceDE w:val="0"/>
        <w:autoSpaceDN w:val="0"/>
        <w:adjustRightInd w:val="0"/>
        <w:jc w:val="both"/>
        <w:rPr>
          <w:rFonts w:ascii="Arial" w:eastAsia="Arial" w:hAnsi="Arial" w:cs="Arial"/>
          <w:b/>
          <w:bCs/>
          <w:sz w:val="22"/>
          <w:szCs w:val="22"/>
        </w:rPr>
      </w:pPr>
      <w:r>
        <w:rPr>
          <w:rFonts w:ascii="Arial" w:hAnsi="Arial" w:cs="Arial"/>
          <w:sz w:val="22"/>
          <w:szCs w:val="22"/>
          <w:lang w:eastAsia="es-ES"/>
        </w:rPr>
        <w:t>En mérito de lo expuesto, este despacho,</w:t>
      </w:r>
    </w:p>
    <w:p w14:paraId="717A18CD" w14:textId="77777777" w:rsidR="008762AE" w:rsidRDefault="008762AE">
      <w:pPr>
        <w:jc w:val="both"/>
        <w:rPr>
          <w:rFonts w:ascii="Arial" w:eastAsia="Arial" w:hAnsi="Arial" w:cs="Arial"/>
          <w:b/>
          <w:bCs/>
          <w:sz w:val="22"/>
          <w:szCs w:val="22"/>
        </w:rPr>
      </w:pPr>
    </w:p>
    <w:p w14:paraId="74166B5A" w14:textId="77777777" w:rsidR="008762AE" w:rsidRDefault="001673E7">
      <w:pPr>
        <w:jc w:val="center"/>
        <w:rPr>
          <w:rFonts w:ascii="Arial" w:eastAsia="Arial" w:hAnsi="Arial" w:cs="Arial"/>
          <w:b/>
          <w:bCs/>
          <w:sz w:val="22"/>
          <w:szCs w:val="22"/>
        </w:rPr>
      </w:pPr>
      <w:r>
        <w:rPr>
          <w:rFonts w:ascii="Arial" w:eastAsia="Calibri" w:hAnsi="Arial" w:cs="Arial"/>
          <w:b/>
          <w:bCs/>
          <w:sz w:val="22"/>
          <w:szCs w:val="22"/>
          <w:lang w:val="es-CO" w:eastAsia="es-ES"/>
        </w:rPr>
        <w:t>RESUELVE:</w:t>
      </w:r>
    </w:p>
    <w:p w14:paraId="1B2157B4" w14:textId="77777777" w:rsidR="008762AE" w:rsidRDefault="008762AE">
      <w:pPr>
        <w:jc w:val="both"/>
        <w:rPr>
          <w:rFonts w:ascii="Arial" w:eastAsia="Arial" w:hAnsi="Arial" w:cs="Arial"/>
          <w:b/>
          <w:bCs/>
          <w:sz w:val="22"/>
          <w:szCs w:val="22"/>
        </w:rPr>
      </w:pPr>
    </w:p>
    <w:p w14:paraId="692E5F8B" w14:textId="77777777" w:rsidR="008762AE" w:rsidRDefault="001673E7">
      <w:pPr>
        <w:jc w:val="both"/>
        <w:rPr>
          <w:rFonts w:ascii="Arial" w:eastAsia="Arial" w:hAnsi="Arial" w:cs="Arial"/>
          <w:b/>
          <w:bCs/>
          <w:sz w:val="22"/>
          <w:szCs w:val="22"/>
        </w:rPr>
      </w:pPr>
      <w:r>
        <w:rPr>
          <w:rFonts w:ascii="Arial" w:eastAsia="Calibri" w:hAnsi="Arial" w:cs="Arial"/>
          <w:b/>
          <w:bCs/>
          <w:sz w:val="22"/>
          <w:szCs w:val="22"/>
          <w:lang w:val="es-CO" w:eastAsia="es-ES"/>
        </w:rPr>
        <w:t>ARTÍCULO PRIMERO.</w:t>
      </w:r>
      <w:r>
        <w:rPr>
          <w:rFonts w:ascii="Arial" w:eastAsia="Calibri" w:hAnsi="Arial" w:cs="Arial"/>
          <w:sz w:val="22"/>
          <w:szCs w:val="22"/>
          <w:lang w:val="es-CO" w:eastAsia="es-ES"/>
        </w:rPr>
        <w:t xml:space="preserve"> Declárese culminada la actuación administrativa relacionada con seguimiento al cumplimiento de la orden de hacer impuesta a la sociedad enajenadora</w:t>
      </w:r>
      <w:r>
        <w:rPr>
          <w:rFonts w:ascii="Arial" w:eastAsia="Calibri" w:hAnsi="Arial" w:cs="Arial"/>
          <w:sz w:val="22"/>
          <w:szCs w:val="22"/>
          <w:shd w:val="clear" w:color="FFFFFF" w:fill="FFFFFF"/>
          <w:lang w:val="es-CO" w:eastAsia="en-US"/>
        </w:rPr>
        <w:t xml:space="preserve"> </w:t>
      </w:r>
      <w:r>
        <w:rPr>
          <w:rFonts w:ascii="Arial" w:eastAsia="Arial" w:hAnsi="Arial" w:cs="Arial"/>
          <w:b/>
          <w:bCs/>
          <w:sz w:val="22"/>
          <w:szCs w:val="22"/>
          <w:highlight w:val="white"/>
        </w:rPr>
        <w:t>SUPREMA CONSTRUCTORA S.A.S</w:t>
      </w:r>
      <w:r>
        <w:rPr>
          <w:rFonts w:ascii="Arial" w:eastAsia="Calibri" w:hAnsi="Arial" w:cs="Arial"/>
          <w:sz w:val="22"/>
          <w:szCs w:val="22"/>
          <w:shd w:val="clear" w:color="FFFFFF" w:fill="FFFFFF"/>
          <w:lang w:val="es-CO" w:eastAsia="en-US"/>
        </w:rPr>
        <w:t xml:space="preserve">, identificada con </w:t>
      </w:r>
      <w:r>
        <w:rPr>
          <w:rFonts w:ascii="Arial" w:eastAsia="Calibri" w:hAnsi="Arial" w:cs="Arial"/>
          <w:b/>
          <w:bCs/>
          <w:sz w:val="22"/>
          <w:szCs w:val="22"/>
          <w:shd w:val="clear" w:color="FFFFFF" w:fill="FFFFFF"/>
          <w:lang w:val="es-CO" w:eastAsia="en-US"/>
        </w:rPr>
        <w:t xml:space="preserve">NIT. </w:t>
      </w:r>
      <w:r>
        <w:rPr>
          <w:rFonts w:ascii="Arial" w:eastAsia="Arial" w:hAnsi="Arial" w:cs="Arial"/>
          <w:b/>
          <w:bCs/>
          <w:sz w:val="22"/>
          <w:szCs w:val="22"/>
          <w:highlight w:val="white"/>
        </w:rPr>
        <w:t>900.239.552-6</w:t>
      </w:r>
      <w:r>
        <w:rPr>
          <w:rFonts w:ascii="Arial" w:eastAsia="Calibri" w:hAnsi="Arial" w:cs="Arial"/>
          <w:sz w:val="22"/>
          <w:szCs w:val="22"/>
          <w:shd w:val="clear" w:color="FFFFFF" w:fill="FFFFFF"/>
          <w:lang w:val="es-CO" w:eastAsia="en-US"/>
        </w:rPr>
        <w:t>,</w:t>
      </w:r>
      <w:r>
        <w:rPr>
          <w:rFonts w:ascii="Arial" w:eastAsia="Calibri" w:hAnsi="Arial" w:cs="Arial"/>
          <w:sz w:val="22"/>
          <w:szCs w:val="22"/>
          <w:lang w:val="es-CO" w:eastAsia="es-ES"/>
        </w:rPr>
        <w:t xml:space="preserve"> en la </w:t>
      </w:r>
      <w:r>
        <w:rPr>
          <w:rFonts w:ascii="Arial" w:eastAsia="Arial" w:hAnsi="Arial" w:cs="Arial"/>
          <w:sz w:val="22"/>
          <w:szCs w:val="22"/>
        </w:rPr>
        <w:t>Resolución No. 2484 del 24 de octubre de 2023</w:t>
      </w:r>
      <w:r>
        <w:rPr>
          <w:rFonts w:ascii="Arial" w:eastAsia="Calibri" w:hAnsi="Arial" w:cs="Arial"/>
          <w:sz w:val="22"/>
          <w:szCs w:val="22"/>
          <w:lang w:val="es-CO" w:eastAsia="es-ES"/>
        </w:rPr>
        <w:t>, “</w:t>
      </w:r>
      <w:r>
        <w:rPr>
          <w:rFonts w:ascii="Arial" w:eastAsia="Calibri" w:hAnsi="Arial" w:cs="Arial"/>
          <w:i/>
          <w:iCs/>
          <w:sz w:val="22"/>
          <w:szCs w:val="22"/>
          <w:lang w:val="es-CO" w:eastAsia="es-ES"/>
        </w:rPr>
        <w:t>Por la cual se impone una sanción y se imparte una orden</w:t>
      </w:r>
      <w:r>
        <w:rPr>
          <w:rFonts w:ascii="Arial" w:eastAsia="Calibri" w:hAnsi="Arial" w:cs="Arial"/>
          <w:sz w:val="22"/>
          <w:szCs w:val="22"/>
          <w:lang w:val="es-CO" w:eastAsia="es-ES"/>
        </w:rPr>
        <w:t xml:space="preserve">” por encontrarse plenamente cumplidos y subsanados los hechos que dieron lugar a esta, de conformidad con las razones expuestas en la parte motiva del presente Acto Administrativo.  </w:t>
      </w:r>
    </w:p>
    <w:p w14:paraId="33143874" w14:textId="77777777" w:rsidR="008762AE" w:rsidRDefault="008762AE">
      <w:pPr>
        <w:widowControl w:val="0"/>
        <w:jc w:val="both"/>
        <w:rPr>
          <w:rFonts w:ascii="Arial" w:eastAsia="Arial" w:hAnsi="Arial" w:cs="Arial"/>
          <w:b/>
          <w:bCs/>
          <w:sz w:val="22"/>
          <w:szCs w:val="22"/>
        </w:rPr>
      </w:pPr>
    </w:p>
    <w:p w14:paraId="29C695A1" w14:textId="04B8EED3" w:rsidR="008762AE" w:rsidRDefault="001673E7">
      <w:pPr>
        <w:jc w:val="both"/>
        <w:rPr>
          <w:rFonts w:ascii="Arial" w:eastAsia="Arial" w:hAnsi="Arial" w:cs="Arial"/>
          <w:sz w:val="22"/>
          <w:szCs w:val="22"/>
        </w:rPr>
      </w:pPr>
      <w:r>
        <w:rPr>
          <w:rFonts w:ascii="Arial" w:eastAsia="Arial" w:hAnsi="Arial" w:cs="Arial"/>
          <w:b/>
          <w:bCs/>
          <w:sz w:val="22"/>
          <w:szCs w:val="22"/>
        </w:rPr>
        <w:t>ARTICULO SEGUNDO:</w:t>
      </w:r>
      <w:r>
        <w:rPr>
          <w:rFonts w:ascii="Arial" w:eastAsia="Arial" w:hAnsi="Arial" w:cs="Arial"/>
          <w:sz w:val="22"/>
          <w:szCs w:val="22"/>
        </w:rPr>
        <w:t xml:space="preserve"> Notificar el contenido de la presente Resolución al representante legal y/o al apoderado de la sociedad enajenadora </w:t>
      </w:r>
      <w:r>
        <w:rPr>
          <w:rFonts w:ascii="Arial" w:eastAsia="Arial" w:hAnsi="Arial" w:cs="Arial"/>
          <w:sz w:val="22"/>
          <w:szCs w:val="22"/>
          <w:highlight w:val="white"/>
        </w:rPr>
        <w:t>SUPREMA CONSTRUCTORA S.A.S,</w:t>
      </w:r>
      <w:r>
        <w:rPr>
          <w:rFonts w:ascii="Arial" w:eastAsia="Arial" w:hAnsi="Arial" w:cs="Arial"/>
          <w:sz w:val="22"/>
          <w:szCs w:val="22"/>
        </w:rPr>
        <w:t xml:space="preserve"> identificada con NIT. </w:t>
      </w:r>
      <w:r>
        <w:rPr>
          <w:rFonts w:ascii="Arial" w:eastAsia="Arial" w:hAnsi="Arial" w:cs="Arial"/>
          <w:sz w:val="22"/>
          <w:szCs w:val="22"/>
          <w:highlight w:val="white"/>
        </w:rPr>
        <w:t>900.239.552-6</w:t>
      </w:r>
      <w:r>
        <w:rPr>
          <w:rFonts w:ascii="Arial" w:eastAsia="Arial" w:hAnsi="Arial" w:cs="Arial"/>
          <w:sz w:val="22"/>
          <w:szCs w:val="22"/>
        </w:rPr>
        <w:t xml:space="preserve">, para lo cual deberá </w:t>
      </w:r>
      <w:r w:rsidR="001B0860">
        <w:rPr>
          <w:rFonts w:ascii="Arial" w:eastAsia="Arial" w:hAnsi="Arial" w:cs="Arial"/>
          <w:sz w:val="22"/>
          <w:szCs w:val="22"/>
        </w:rPr>
        <w:t xml:space="preserve">notificarse al correo electrónico </w:t>
      </w:r>
      <w:hyperlink r:id="rId8" w:history="1">
        <w:r w:rsidR="001B0860" w:rsidRPr="006F76F4">
          <w:rPr>
            <w:rStyle w:val="Hipervnculo"/>
            <w:rFonts w:ascii="Arial" w:eastAsia="Arial" w:hAnsi="Arial" w:cs="Arial"/>
            <w:sz w:val="22"/>
            <w:szCs w:val="22"/>
          </w:rPr>
          <w:t>kdiaz@supremaconstructora.com</w:t>
        </w:r>
      </w:hyperlink>
      <w:r w:rsidR="001B0860">
        <w:rPr>
          <w:rFonts w:ascii="Arial" w:eastAsia="Arial" w:hAnsi="Arial" w:cs="Arial"/>
          <w:sz w:val="22"/>
          <w:szCs w:val="22"/>
        </w:rPr>
        <w:t>, de acuerdo con el certificado de cámara de comercio consultado el día 02 de marzo de 2026</w:t>
      </w:r>
      <w:r>
        <w:rPr>
          <w:rFonts w:ascii="Arial" w:eastAsia="Arial" w:hAnsi="Arial" w:cs="Arial"/>
          <w:sz w:val="22"/>
          <w:szCs w:val="22"/>
        </w:rPr>
        <w:t>, o, en su defecto, de conformidad con las normas de notificación previstas en la Ley 1437 de 2011.</w:t>
      </w:r>
    </w:p>
    <w:p w14:paraId="42671303" w14:textId="77777777" w:rsidR="008762AE" w:rsidRDefault="008762AE">
      <w:pPr>
        <w:rPr>
          <w:rFonts w:ascii="Arial" w:eastAsia="Arial" w:hAnsi="Arial" w:cs="Arial"/>
          <w:sz w:val="22"/>
          <w:szCs w:val="22"/>
        </w:rPr>
      </w:pPr>
    </w:p>
    <w:p w14:paraId="0751258C" w14:textId="6B75781B" w:rsidR="008762AE" w:rsidRDefault="001673E7">
      <w:pPr>
        <w:jc w:val="both"/>
        <w:rPr>
          <w:rFonts w:ascii="Arial" w:eastAsia="Arial" w:hAnsi="Arial" w:cs="Arial"/>
          <w:sz w:val="22"/>
          <w:szCs w:val="22"/>
        </w:rPr>
      </w:pPr>
      <w:r>
        <w:rPr>
          <w:rFonts w:ascii="Arial" w:eastAsia="Arial" w:hAnsi="Arial" w:cs="Arial"/>
          <w:b/>
          <w:bCs/>
          <w:sz w:val="22"/>
          <w:szCs w:val="22"/>
        </w:rPr>
        <w:t xml:space="preserve">ARTÍCULO TERCERO: </w:t>
      </w:r>
      <w:r>
        <w:rPr>
          <w:rFonts w:ascii="Arial" w:eastAsia="Arial" w:hAnsi="Arial" w:cs="Arial"/>
          <w:sz w:val="22"/>
          <w:szCs w:val="22"/>
        </w:rPr>
        <w:t xml:space="preserve">Notificar el contenido de esta Resolución al </w:t>
      </w:r>
      <w:r w:rsidR="001B0860">
        <w:rPr>
          <w:rFonts w:ascii="Arial" w:eastAsia="Arial" w:hAnsi="Arial" w:cs="Arial"/>
          <w:sz w:val="22"/>
          <w:szCs w:val="22"/>
        </w:rPr>
        <w:t xml:space="preserve">propietario del apartamento 1101 torre 3 </w:t>
      </w:r>
      <w:r>
        <w:rPr>
          <w:rFonts w:ascii="Arial" w:eastAsia="Arial" w:hAnsi="Arial" w:cs="Arial"/>
          <w:sz w:val="22"/>
          <w:szCs w:val="22"/>
        </w:rPr>
        <w:t xml:space="preserve">(o quien haga sus veces) del proyecto de vivienda CONJUNTO RESIDENCIAL CAMINO DE TORCA - PROPIEDAD HORIZONTAL, para lo cual deberá enviarse citación para notificación personal a la </w:t>
      </w:r>
      <w:r w:rsidRPr="001B0860">
        <w:rPr>
          <w:rFonts w:ascii="Arial" w:eastAsia="Arial" w:hAnsi="Arial" w:cs="Arial"/>
          <w:sz w:val="22"/>
          <w:szCs w:val="22"/>
        </w:rPr>
        <w:t>Carrera 19 No. 183</w:t>
      </w:r>
      <w:r w:rsidR="001B0860" w:rsidRPr="001B0860">
        <w:rPr>
          <w:rFonts w:ascii="Arial" w:eastAsia="Arial" w:hAnsi="Arial" w:cs="Arial"/>
          <w:sz w:val="22"/>
          <w:szCs w:val="22"/>
        </w:rPr>
        <w:t xml:space="preserve"> </w:t>
      </w:r>
      <w:r w:rsidRPr="001B0860">
        <w:rPr>
          <w:rFonts w:ascii="Arial" w:eastAsia="Arial" w:hAnsi="Arial" w:cs="Arial"/>
          <w:sz w:val="22"/>
          <w:szCs w:val="22"/>
        </w:rPr>
        <w:t>-</w:t>
      </w:r>
      <w:r w:rsidR="001B0860" w:rsidRPr="001B0860">
        <w:rPr>
          <w:rFonts w:ascii="Arial" w:eastAsia="Arial" w:hAnsi="Arial" w:cs="Arial"/>
          <w:sz w:val="22"/>
          <w:szCs w:val="22"/>
        </w:rPr>
        <w:t xml:space="preserve"> </w:t>
      </w:r>
      <w:r w:rsidRPr="001B0860">
        <w:rPr>
          <w:rFonts w:ascii="Arial" w:eastAsia="Arial" w:hAnsi="Arial" w:cs="Arial"/>
          <w:sz w:val="22"/>
          <w:szCs w:val="22"/>
        </w:rPr>
        <w:t xml:space="preserve">51 </w:t>
      </w:r>
      <w:r w:rsidR="001B0860" w:rsidRPr="001B0860">
        <w:rPr>
          <w:rFonts w:ascii="Arial" w:eastAsia="Arial" w:hAnsi="Arial" w:cs="Arial"/>
          <w:sz w:val="22"/>
          <w:szCs w:val="22"/>
        </w:rPr>
        <w:t>apartamento</w:t>
      </w:r>
      <w:r w:rsidR="001B0860">
        <w:rPr>
          <w:rFonts w:ascii="Arial" w:eastAsia="Arial" w:hAnsi="Arial" w:cs="Arial"/>
          <w:sz w:val="22"/>
          <w:szCs w:val="22"/>
        </w:rPr>
        <w:t xml:space="preserve"> 1101 </w:t>
      </w:r>
      <w:r w:rsidR="001B0860">
        <w:rPr>
          <w:rFonts w:ascii="Arial" w:eastAsia="Arial" w:hAnsi="Arial" w:cs="Arial"/>
          <w:sz w:val="22"/>
          <w:szCs w:val="22"/>
        </w:rPr>
        <w:lastRenderedPageBreak/>
        <w:t xml:space="preserve">torre 3 </w:t>
      </w:r>
      <w:r>
        <w:rPr>
          <w:rFonts w:ascii="Arial" w:eastAsia="Arial" w:hAnsi="Arial" w:cs="Arial"/>
          <w:sz w:val="22"/>
          <w:szCs w:val="22"/>
        </w:rPr>
        <w:t>de Bogotá; o, en su defecto, de conformidad con las normas de notificación previstas en la Ley 1437 de 2011.</w:t>
      </w:r>
    </w:p>
    <w:p w14:paraId="4F1A1BF6" w14:textId="77777777" w:rsidR="008762AE" w:rsidRDefault="008762AE">
      <w:pPr>
        <w:widowControl w:val="0"/>
        <w:jc w:val="both"/>
        <w:rPr>
          <w:rFonts w:ascii="Arial" w:eastAsia="Arial" w:hAnsi="Arial" w:cs="Arial"/>
          <w:b/>
          <w:bCs/>
          <w:sz w:val="22"/>
          <w:szCs w:val="22"/>
        </w:rPr>
      </w:pPr>
    </w:p>
    <w:p w14:paraId="37AF9DBC" w14:textId="77777777" w:rsidR="008762AE" w:rsidRDefault="001673E7">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7430851" w14:textId="77777777" w:rsidR="008762AE" w:rsidRDefault="008762AE">
      <w:pPr>
        <w:widowControl w:val="0"/>
        <w:jc w:val="both"/>
        <w:rPr>
          <w:rFonts w:ascii="Arial" w:eastAsia="Arial" w:hAnsi="Arial" w:cs="Arial"/>
          <w:b/>
          <w:bCs/>
          <w:sz w:val="22"/>
          <w:szCs w:val="22"/>
        </w:rPr>
      </w:pPr>
    </w:p>
    <w:p w14:paraId="11A2EF29" w14:textId="77777777" w:rsidR="008762AE" w:rsidRDefault="001673E7">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32BDA24E" w14:textId="77777777" w:rsidR="008762AE" w:rsidRDefault="008762AE">
      <w:pPr>
        <w:widowControl w:val="0"/>
        <w:jc w:val="both"/>
        <w:rPr>
          <w:rFonts w:ascii="Arial" w:eastAsia="Arial" w:hAnsi="Arial" w:cs="Arial"/>
          <w:b/>
          <w:bCs/>
          <w:sz w:val="22"/>
          <w:szCs w:val="22"/>
        </w:rPr>
      </w:pPr>
    </w:p>
    <w:p w14:paraId="30085CD5" w14:textId="77777777" w:rsidR="008762AE" w:rsidRDefault="001673E7">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4BDE30B1" w14:textId="77777777" w:rsidR="008762AE" w:rsidRDefault="008762AE">
      <w:pPr>
        <w:widowControl w:val="0"/>
        <w:jc w:val="center"/>
        <w:rPr>
          <w:rFonts w:ascii="Arial" w:eastAsia="Arial" w:hAnsi="Arial" w:cs="Arial"/>
          <w:b/>
          <w:bCs/>
          <w:sz w:val="22"/>
          <w:szCs w:val="22"/>
        </w:rPr>
      </w:pPr>
    </w:p>
    <w:p w14:paraId="25FEE3EC" w14:textId="77777777" w:rsidR="008762AE" w:rsidRDefault="008762AE">
      <w:pPr>
        <w:widowControl w:val="0"/>
        <w:jc w:val="center"/>
        <w:rPr>
          <w:rFonts w:ascii="Arial" w:eastAsia="Arial" w:hAnsi="Arial" w:cs="Arial"/>
          <w:b/>
          <w:bCs/>
          <w:sz w:val="22"/>
          <w:szCs w:val="22"/>
        </w:rPr>
      </w:pPr>
    </w:p>
    <w:p w14:paraId="3E7AA49C" w14:textId="77777777" w:rsidR="008762AE" w:rsidRDefault="001673E7">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0209C047" w14:textId="77777777" w:rsidR="008762AE" w:rsidRDefault="008762AE">
      <w:pPr>
        <w:widowControl w:val="0"/>
        <w:rPr>
          <w:rFonts w:ascii="Arial" w:eastAsia="Arial" w:hAnsi="Arial" w:cs="Arial"/>
          <w:b/>
          <w:bCs/>
          <w:sz w:val="22"/>
          <w:szCs w:val="22"/>
        </w:rPr>
      </w:pPr>
    </w:p>
    <w:p w14:paraId="4B2221D5" w14:textId="77777777" w:rsidR="008762AE" w:rsidRDefault="008762AE">
      <w:pPr>
        <w:widowControl w:val="0"/>
        <w:jc w:val="both"/>
        <w:rPr>
          <w:rFonts w:ascii="Arial" w:eastAsia="Arial" w:hAnsi="Arial" w:cs="Arial"/>
          <w:sz w:val="22"/>
          <w:szCs w:val="22"/>
        </w:rPr>
      </w:pPr>
    </w:p>
    <w:p w14:paraId="76C6BC79" w14:textId="77777777" w:rsidR="0034424A" w:rsidRDefault="0034424A">
      <w:pPr>
        <w:widowControl w:val="0"/>
        <w:jc w:val="both"/>
        <w:rPr>
          <w:rFonts w:ascii="Arial" w:eastAsia="Arial" w:hAnsi="Arial" w:cs="Arial"/>
          <w:sz w:val="22"/>
          <w:szCs w:val="22"/>
        </w:rPr>
      </w:pPr>
    </w:p>
    <w:p w14:paraId="143F4DDD" w14:textId="77777777" w:rsidR="001B0860" w:rsidRDefault="001B0860">
      <w:pPr>
        <w:widowControl w:val="0"/>
        <w:jc w:val="both"/>
        <w:rPr>
          <w:rFonts w:ascii="Arial" w:eastAsia="Arial" w:hAnsi="Arial" w:cs="Arial"/>
          <w:sz w:val="22"/>
          <w:szCs w:val="22"/>
        </w:rPr>
      </w:pPr>
    </w:p>
    <w:p w14:paraId="5D9ABE6A" w14:textId="77777777" w:rsidR="001B0860" w:rsidRDefault="001B0860">
      <w:pPr>
        <w:widowControl w:val="0"/>
        <w:jc w:val="both"/>
        <w:rPr>
          <w:rFonts w:ascii="Arial" w:eastAsia="Arial" w:hAnsi="Arial" w:cs="Arial"/>
          <w:sz w:val="22"/>
          <w:szCs w:val="22"/>
        </w:rPr>
      </w:pPr>
    </w:p>
    <w:p w14:paraId="38D2AF83" w14:textId="77777777" w:rsidR="001B0860" w:rsidRDefault="001B0860">
      <w:pPr>
        <w:widowControl w:val="0"/>
        <w:jc w:val="both"/>
        <w:rPr>
          <w:rFonts w:ascii="Arial" w:eastAsia="Arial" w:hAnsi="Arial" w:cs="Arial"/>
          <w:sz w:val="22"/>
          <w:szCs w:val="22"/>
        </w:rPr>
      </w:pPr>
    </w:p>
    <w:p w14:paraId="7FA55C55" w14:textId="77777777" w:rsidR="001B0860" w:rsidRDefault="001B0860">
      <w:pPr>
        <w:widowControl w:val="0"/>
        <w:jc w:val="both"/>
        <w:rPr>
          <w:rFonts w:ascii="Arial" w:eastAsia="Arial" w:hAnsi="Arial" w:cs="Arial"/>
          <w:sz w:val="22"/>
          <w:szCs w:val="22"/>
        </w:rPr>
      </w:pPr>
    </w:p>
    <w:p w14:paraId="7381E144" w14:textId="77777777" w:rsidR="0034424A" w:rsidRDefault="0034424A">
      <w:pPr>
        <w:widowControl w:val="0"/>
        <w:jc w:val="both"/>
        <w:rPr>
          <w:rFonts w:ascii="Arial" w:eastAsia="Arial" w:hAnsi="Arial" w:cs="Arial"/>
          <w:sz w:val="22"/>
          <w:szCs w:val="22"/>
        </w:rPr>
      </w:pPr>
    </w:p>
    <w:p w14:paraId="7778D181" w14:textId="77777777" w:rsidR="008762AE" w:rsidRDefault="001673E7">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710A2CA2" w14:textId="77777777" w:rsidR="008762AE" w:rsidRDefault="001673E7">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E5F3CE9" w14:textId="77777777" w:rsidR="008762AE" w:rsidRDefault="008762AE">
      <w:pPr>
        <w:widowControl w:val="0"/>
        <w:jc w:val="both"/>
        <w:rPr>
          <w:rFonts w:ascii="Arial" w:eastAsia="Arial" w:hAnsi="Arial" w:cs="Arial"/>
          <w:i/>
          <w:iCs/>
          <w:sz w:val="22"/>
          <w:szCs w:val="22"/>
        </w:rPr>
      </w:pPr>
    </w:p>
    <w:p w14:paraId="16B08C71" w14:textId="77777777" w:rsidR="008762AE" w:rsidRDefault="001673E7">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0E087DB5" w14:textId="77777777" w:rsidR="008762AE" w:rsidRDefault="001673E7">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76CB3422" w14:textId="77777777" w:rsidR="008762AE" w:rsidRDefault="008762AE">
      <w:pPr>
        <w:rPr>
          <w:rFonts w:ascii="Arial" w:eastAsia="Arial" w:hAnsi="Arial" w:cs="Arial"/>
          <w:sz w:val="22"/>
          <w:szCs w:val="22"/>
        </w:rPr>
      </w:pPr>
    </w:p>
    <w:p w14:paraId="6C9C0312" w14:textId="77777777" w:rsidR="008762AE" w:rsidRDefault="008762AE">
      <w:pPr>
        <w:pBdr>
          <w:top w:val="nil"/>
          <w:left w:val="nil"/>
          <w:bottom w:val="nil"/>
          <w:right w:val="nil"/>
          <w:between w:val="nil"/>
        </w:pBdr>
        <w:rPr>
          <w:rFonts w:ascii="Arial" w:eastAsia="Arial" w:hAnsi="Arial" w:cs="Arial"/>
          <w:b/>
          <w:bCs/>
          <w:sz w:val="22"/>
          <w:szCs w:val="22"/>
        </w:rPr>
      </w:pPr>
    </w:p>
    <w:p w14:paraId="382EBA02" w14:textId="77777777" w:rsidR="008762AE" w:rsidRDefault="008762AE">
      <w:pPr>
        <w:pBdr>
          <w:top w:val="nil"/>
          <w:left w:val="nil"/>
          <w:bottom w:val="nil"/>
          <w:right w:val="nil"/>
          <w:between w:val="nil"/>
        </w:pBdr>
        <w:rPr>
          <w:rFonts w:ascii="Arial" w:eastAsia="Arial" w:hAnsi="Arial" w:cs="Arial"/>
          <w:b/>
          <w:bCs/>
          <w:sz w:val="22"/>
          <w:szCs w:val="22"/>
        </w:rPr>
      </w:pPr>
    </w:p>
    <w:p w14:paraId="73A2AAED" w14:textId="77777777" w:rsidR="008762AE" w:rsidRDefault="008762AE">
      <w:pPr>
        <w:pBdr>
          <w:top w:val="nil"/>
          <w:left w:val="nil"/>
          <w:bottom w:val="nil"/>
          <w:right w:val="nil"/>
          <w:between w:val="nil"/>
        </w:pBdr>
        <w:rPr>
          <w:rFonts w:ascii="Arial" w:eastAsia="Arial" w:hAnsi="Arial" w:cs="Arial"/>
          <w:b/>
          <w:bCs/>
          <w:sz w:val="22"/>
          <w:szCs w:val="22"/>
        </w:rPr>
      </w:pPr>
    </w:p>
    <w:sectPr w:rsidR="008762AE">
      <w:headerReference w:type="default" r:id="rId9"/>
      <w:footerReference w:type="default" r:id="rId10"/>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6EA258" w14:textId="77777777" w:rsidR="00B278CC" w:rsidRDefault="00B278CC">
      <w:r>
        <w:separator/>
      </w:r>
    </w:p>
  </w:endnote>
  <w:endnote w:type="continuationSeparator" w:id="0">
    <w:p w14:paraId="03AD3403" w14:textId="77777777" w:rsidR="00B278CC" w:rsidRDefault="00B27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lay">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1" w:fontKey="{8314B050-81AC-431C-A375-7C6B2858A3BC}"/>
  </w:font>
  <w:font w:name="Aptos">
    <w:charset w:val="00"/>
    <w:family w:val="swiss"/>
    <w:pitch w:val="variable"/>
    <w:sig w:usb0="20000287" w:usb1="00000003" w:usb2="00000000" w:usb3="00000000" w:csb0="0000019F" w:csb1="00000000"/>
    <w:embedRegular r:id="rId2" w:fontKey="{58500654-6B47-4B02-8708-39423741D07F}"/>
  </w:font>
  <w:font w:name="Helvetica">
    <w:panose1 w:val="020B0604020202020204"/>
    <w:charset w:val="00"/>
    <w:family w:val="swiss"/>
    <w:pitch w:val="variable"/>
    <w:sig w:usb0="E0002EFF" w:usb1="C000785B" w:usb2="00000009" w:usb3="00000000" w:csb0="000001FF" w:csb1="00000000"/>
    <w:embedRegular r:id="rId3" w:fontKey="{C0AB9933-B328-49D7-A759-9B32374594C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1D30525A-569C-4A2A-AA00-6D479E929F8C}"/>
    <w:embedBold r:id="rId5" w:fontKey="{4B5984A4-8CB3-49C3-88CA-95B2E6C15CC0}"/>
    <w:embedItalic r:id="rId6" w:fontKey="{21B48B82-1F72-4DFA-A801-F602431C88D3}"/>
  </w:font>
  <w:font w:name="Cambria">
    <w:panose1 w:val="02040503050406030204"/>
    <w:charset w:val="00"/>
    <w:family w:val="roman"/>
    <w:pitch w:val="variable"/>
    <w:sig w:usb0="E00006FF" w:usb1="420024FF" w:usb2="02000000" w:usb3="00000000" w:csb0="0000019F" w:csb1="00000000"/>
    <w:embedRegular r:id="rId7" w:fontKey="{6A987EA0-A92C-4148-898F-6787A68161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BC8F0" w14:textId="77777777" w:rsidR="008762AE" w:rsidRDefault="001673E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3" behindDoc="0" locked="0" layoutInCell="1" allowOverlap="1" wp14:anchorId="026AC9E9" wp14:editId="55D0ADFC">
          <wp:simplePos x="0" y="0"/>
          <wp:positionH relativeFrom="column">
            <wp:posOffset>2239010</wp:posOffset>
          </wp:positionH>
          <wp:positionV relativeFrom="paragraph">
            <wp:posOffset>74295</wp:posOffset>
          </wp:positionV>
          <wp:extent cx="2133600" cy="861695"/>
          <wp:effectExtent l="9525" t="9525" r="9525" b="9525"/>
          <wp:wrapSquare wrapText="bothSides"/>
          <wp:docPr id="4098" name="image1.png" descr="Imagen que contiene Texto&#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1.png"/>
                  <pic:cNvPicPr/>
                </pic:nvPicPr>
                <pic:blipFill>
                  <a:blip r:embed="rId1" cstate="print"/>
                  <a:srcRect/>
                  <a:stretch/>
                </pic:blipFill>
                <pic:spPr>
                  <a:xfrm>
                    <a:off x="0" y="0"/>
                    <a:ext cx="2133600" cy="861695"/>
                  </a:xfrm>
                  <a:prstGeom prst="rect">
                    <a:avLst/>
                  </a:prstGeom>
                  <a:ln w="9525" cap="flat" cmpd="sng">
                    <a:solidFill>
                      <a:srgbClr val="000000"/>
                    </a:solidFill>
                    <a:prstDash val="solid"/>
                    <a:round/>
                    <a:headEnd/>
                    <a:tailEnd/>
                  </a:ln>
                </pic:spPr>
              </pic:pic>
            </a:graphicData>
          </a:graphic>
        </wp:anchor>
      </w:drawing>
    </w:r>
  </w:p>
  <w:p w14:paraId="2AE868D8" w14:textId="77777777" w:rsidR="008762AE" w:rsidRDefault="001673E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Pr>
        <w:b/>
        <w:bCs/>
        <w:noProof/>
        <w:color w:val="000000"/>
      </w:rPr>
      <w:t>2</w:t>
    </w:r>
    <w:r>
      <w:rPr>
        <w:b/>
        <w:bCs/>
        <w:color w:val="000000"/>
      </w:rPr>
      <w:fldChar w:fldCharType="end"/>
    </w:r>
  </w:p>
  <w:p w14:paraId="310AEF27" w14:textId="77777777" w:rsidR="008762AE" w:rsidRDefault="001673E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0B8565FD" w14:textId="77777777" w:rsidR="008762AE" w:rsidRDefault="001673E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4" behindDoc="0" locked="0" layoutInCell="1" allowOverlap="1" wp14:anchorId="41AF7B2F" wp14:editId="0415945E">
              <wp:simplePos x="0" y="0"/>
              <wp:positionH relativeFrom="column">
                <wp:posOffset>5180015</wp:posOffset>
              </wp:positionH>
              <wp:positionV relativeFrom="paragraph">
                <wp:posOffset>77788</wp:posOffset>
              </wp:positionV>
              <wp:extent cx="1089023" cy="746759"/>
              <wp:effectExtent l="0" t="0" r="0" b="0"/>
              <wp:wrapSquare wrapText="bothSides"/>
              <wp:docPr id="4099" name="Rectángulo 4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9023" cy="746759"/>
                      </a:xfrm>
                      <a:prstGeom prst="rect">
                        <a:avLst/>
                      </a:prstGeom>
                      <a:solidFill>
                        <a:srgbClr val="FFFFFF"/>
                      </a:solidFill>
                      <a:ln w="9525" cap="flat" cmpd="sng">
                        <a:solidFill>
                          <a:srgbClr val="FFFFFF"/>
                        </a:solidFill>
                        <a:prstDash val="solid"/>
                        <a:miter/>
                        <a:headEnd type="none" w="sm" len="sm"/>
                        <a:tailEnd type="none" w="sm" len="sm"/>
                      </a:ln>
                    </wps:spPr>
                    <wps:txbx>
                      <w:txbxContent>
                        <w:p w14:paraId="4AE988E7" w14:textId="77777777" w:rsidR="008762AE" w:rsidRDefault="001673E7">
                          <w:pPr>
                            <w:jc w:val="center"/>
                            <w:textDirection w:val="btLr"/>
                          </w:pPr>
                          <w:r>
                            <w:rPr>
                              <w:rFonts w:ascii="Arial" w:eastAsia="Arial" w:hAnsi="Arial" w:cs="Arial"/>
                              <w:color w:val="000000"/>
                              <w:sz w:val="14"/>
                            </w:rPr>
                            <w:t>PG02-PL03 V2</w:t>
                          </w:r>
                        </w:p>
                      </w:txbxContent>
                    </wps:txbx>
                    <wps:bodyPr wrap="square" lIns="91425" tIns="45700" rIns="91425" bIns="45700" anchor="t">
                      <a:prstTxWarp prst="textNoShape">
                        <a:avLst/>
                      </a:prstTxWarp>
                      <a:noAutofit/>
                    </wps:bodyPr>
                  </wps:wsp>
                </a:graphicData>
              </a:graphic>
            </wp:anchor>
          </w:drawing>
        </mc:Choice>
        <mc:Fallback>
          <w:pict>
            <v:rect w14:anchorId="41AF7B2F" id="Rectángulo 4106" o:spid="_x0000_s1026" style="position:absolute;margin-left:407.9pt;margin-top:6.15pt;width:85.75pt;height:58.8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" strokecolor="white">
              <v:stroke startarrowwidth="narrow" startarrowlength="short" endarrowwidth="narrow" endarrowlength="short"/>
              <v:path arrowok="t"/>
              <v:textbox inset="2.53958mm,1.2694mm,2.53958mm,1.2694mm">
                <w:txbxContent>
                  <w:p w14:paraId="4AE988E7" w14:textId="77777777" w:rsidR="008762AE" w:rsidRDefault="001673E7">
                    <w:pPr>
                      <w:jc w:val="center"/>
                      <w:textDirection w:val="btLr"/>
                    </w:pPr>
                    <w:r>
                      <w:rPr>
                        <w:rFonts w:ascii="Arial" w:eastAsia="Arial" w:hAnsi="Arial" w:cs="Arial"/>
                        <w:color w:val="000000"/>
                        <w:sz w:val="14"/>
                      </w:rPr>
                      <w:t>PG02-PL03 V2</w:t>
                    </w:r>
                  </w:p>
                </w:txbxContent>
              </v:textbox>
              <w10:wrap type="square"/>
            </v:rect>
          </w:pict>
        </mc:Fallback>
      </mc:AlternateContent>
    </w:r>
  </w:p>
  <w:p w14:paraId="17A664F1" w14:textId="77777777" w:rsidR="008762AE" w:rsidRDefault="001673E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57B36B5" w14:textId="77777777" w:rsidR="008762AE" w:rsidRPr="001B0860" w:rsidRDefault="001673E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1B0860">
      <w:rPr>
        <w:rFonts w:ascii="Arial" w:eastAsia="Arial" w:hAnsi="Arial" w:cs="Arial"/>
        <w:color w:val="000000"/>
        <w:sz w:val="16"/>
        <w:szCs w:val="16"/>
        <w:lang w:val="pt-PT"/>
      </w:rPr>
      <w:t xml:space="preserve">Código Postal: 110231 </w:t>
    </w:r>
  </w:p>
  <w:p w14:paraId="42EEB0B2" w14:textId="77777777" w:rsidR="008762AE" w:rsidRPr="001B0860" w:rsidRDefault="001673E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history="1">
      <w:r w:rsidRPr="001B0860">
        <w:rPr>
          <w:rFonts w:ascii="Arial" w:eastAsia="Arial" w:hAnsi="Arial" w:cs="Arial"/>
          <w:color w:val="0000FF"/>
          <w:sz w:val="16"/>
          <w:szCs w:val="16"/>
          <w:u w:val="single"/>
          <w:lang w:val="pt-PT"/>
        </w:rPr>
        <w:t>www.habitatbogota.gov.co</w:t>
      </w:r>
    </w:hyperlink>
    <w:r w:rsidRPr="001B0860">
      <w:rPr>
        <w:rFonts w:ascii="Arial" w:eastAsia="Arial" w:hAnsi="Arial" w:cs="Arial"/>
        <w:color w:val="000000"/>
        <w:sz w:val="16"/>
        <w:szCs w:val="16"/>
        <w:lang w:val="pt-PT"/>
      </w:rPr>
      <w:t xml:space="preserve">                 </w:t>
    </w:r>
  </w:p>
  <w:p w14:paraId="59FD6891" w14:textId="77777777" w:rsidR="008762AE" w:rsidRPr="001B0860" w:rsidRDefault="008762AE">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33623" w14:textId="77777777" w:rsidR="00B278CC" w:rsidRDefault="00B278CC">
      <w:r>
        <w:separator/>
      </w:r>
    </w:p>
  </w:footnote>
  <w:footnote w:type="continuationSeparator" w:id="0">
    <w:p w14:paraId="64DBF0AD" w14:textId="77777777" w:rsidR="00B278CC" w:rsidRDefault="00B27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5E391" w14:textId="77777777" w:rsidR="008762AE" w:rsidRDefault="008762AE">
    <w:pPr>
      <w:rPr>
        <w:b/>
        <w:bCs/>
        <w:sz w:val="22"/>
        <w:szCs w:val="22"/>
      </w:rPr>
    </w:pPr>
    <w:bookmarkStart w:id="7" w:name="_heading=h.g0ck6mntm1z9" w:colFirst="0" w:colLast="0"/>
    <w:bookmarkEnd w:id="7"/>
  </w:p>
  <w:p w14:paraId="4CA7FC61" w14:textId="77777777" w:rsidR="008762AE" w:rsidRDefault="008762AE">
    <w:pPr>
      <w:rPr>
        <w:b/>
        <w:bCs/>
        <w:sz w:val="22"/>
        <w:szCs w:val="22"/>
      </w:rPr>
    </w:pPr>
  </w:p>
  <w:p w14:paraId="6389F2BF" w14:textId="77777777" w:rsidR="008762AE" w:rsidRDefault="008762AE">
    <w:pPr>
      <w:rPr>
        <w:b/>
        <w:bCs/>
        <w:sz w:val="22"/>
        <w:szCs w:val="22"/>
      </w:rPr>
    </w:pPr>
  </w:p>
  <w:p w14:paraId="3E327D9A" w14:textId="77777777" w:rsidR="008762AE" w:rsidRDefault="001673E7">
    <w:pPr>
      <w:jc w:val="center"/>
      <w:rPr>
        <w:rFonts w:ascii="Arial" w:eastAsia="Arial" w:hAnsi="Arial" w:cs="Arial"/>
        <w:b/>
        <w:bCs/>
        <w:sz w:val="22"/>
        <w:szCs w:val="22"/>
      </w:rPr>
    </w:pPr>
    <w:r>
      <w:rPr>
        <w:rFonts w:ascii="Arial" w:eastAsia="Arial" w:hAnsi="Arial" w:cs="Arial"/>
        <w:b/>
        <w:bCs/>
        <w:sz w:val="22"/>
        <w:szCs w:val="22"/>
      </w:rPr>
      <w:t>RESOLUCIÓN No. __ DEL 02 DE MARZO DE 2026</w:t>
    </w:r>
  </w:p>
  <w:p w14:paraId="32094C38" w14:textId="77777777" w:rsidR="008762AE" w:rsidRDefault="001673E7">
    <w:pPr>
      <w:jc w:val="center"/>
      <w:rPr>
        <w:rFonts w:ascii="Arial" w:eastAsia="Arial" w:hAnsi="Arial" w:cs="Arial"/>
        <w:sz w:val="22"/>
        <w:szCs w:val="22"/>
      </w:rPr>
    </w:pPr>
    <w:r>
      <w:rPr>
        <w:rFonts w:ascii="Arial" w:eastAsia="Arial" w:hAnsi="Arial" w:cs="Arial"/>
        <w:sz w:val="22"/>
        <w:szCs w:val="22"/>
      </w:rPr>
      <w:t>“Por la cual se culmina una actuación administrativa”</w:t>
    </w:r>
  </w:p>
  <w:p w14:paraId="29BDE0EE" w14:textId="77777777" w:rsidR="008762AE" w:rsidRDefault="001673E7">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 behindDoc="0" locked="0" layoutInCell="1" allowOverlap="1" wp14:anchorId="6F960E67" wp14:editId="6AB37A61">
          <wp:simplePos x="0" y="0"/>
          <wp:positionH relativeFrom="margin">
            <wp:align>center</wp:align>
          </wp:positionH>
          <wp:positionV relativeFrom="page">
            <wp:posOffset>277495</wp:posOffset>
          </wp:positionV>
          <wp:extent cx="1333500" cy="469900"/>
          <wp:effectExtent l="9525" t="9525" r="9525" b="9525"/>
          <wp:wrapSquare wrapText="bothSides"/>
          <wp:docPr id="4097" name="image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png"/>
                  <pic:cNvPicPr/>
                </pic:nvPicPr>
                <pic:blipFill>
                  <a:blip r:embed="rId1" cstate="print"/>
                  <a:srcRect/>
                  <a:stretch/>
                </pic:blipFill>
                <pic:spPr>
                  <a:xfrm>
                    <a:off x="0" y="0"/>
                    <a:ext cx="1333500" cy="469900"/>
                  </a:xfrm>
                  <a:prstGeom prst="rect">
                    <a:avLst/>
                  </a:prstGeom>
                  <a:ln w="9525" cap="flat" cmpd="sng">
                    <a:solidFill>
                      <a:srgbClr val="000000"/>
                    </a:solidFill>
                    <a:prstDash val="solid"/>
                    <a:round/>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48F68F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0000002"/>
    <w:multiLevelType w:val="hybridMultilevel"/>
    <w:tmpl w:val="7BE6B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0000003"/>
    <w:multiLevelType w:val="hybridMultilevel"/>
    <w:tmpl w:val="EAA8B544"/>
    <w:lvl w:ilvl="0" w:tplc="8F868A2E">
      <w:start w:val="1"/>
      <w:numFmt w:val="decimal"/>
      <w:lvlText w:val="%1."/>
      <w:lvlJc w:val="left"/>
      <w:pPr>
        <w:ind w:left="720" w:hanging="360"/>
      </w:pPr>
      <w:rPr>
        <w:rFonts w:hint="default"/>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0000004"/>
    <w:multiLevelType w:val="hybridMultilevel"/>
    <w:tmpl w:val="00000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3A3B32"/>
    <w:multiLevelType w:val="hybridMultilevel"/>
    <w:tmpl w:val="00BEC2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EC5212C"/>
    <w:multiLevelType w:val="hybridMultilevel"/>
    <w:tmpl w:val="00BEC2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8EE7396"/>
    <w:multiLevelType w:val="hybridMultilevel"/>
    <w:tmpl w:val="48F68F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D893D6A"/>
    <w:multiLevelType w:val="hybridMultilevel"/>
    <w:tmpl w:val="EAA8B544"/>
    <w:lvl w:ilvl="0" w:tplc="8F868A2E">
      <w:start w:val="1"/>
      <w:numFmt w:val="decimal"/>
      <w:lvlText w:val="%1."/>
      <w:lvlJc w:val="left"/>
      <w:pPr>
        <w:ind w:left="720" w:hanging="360"/>
      </w:pPr>
      <w:rPr>
        <w:rFonts w:hint="default"/>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557888469">
    <w:abstractNumId w:val="1"/>
  </w:num>
  <w:num w:numId="2" w16cid:durableId="39941580">
    <w:abstractNumId w:val="4"/>
  </w:num>
  <w:num w:numId="3" w16cid:durableId="672874855">
    <w:abstractNumId w:val="2"/>
  </w:num>
  <w:num w:numId="4" w16cid:durableId="1634561162">
    <w:abstractNumId w:val="0"/>
  </w:num>
  <w:num w:numId="5" w16cid:durableId="2127578737">
    <w:abstractNumId w:val="3"/>
  </w:num>
  <w:num w:numId="6" w16cid:durableId="1507135876">
    <w:abstractNumId w:val="5"/>
  </w:num>
  <w:num w:numId="7" w16cid:durableId="2138332973">
    <w:abstractNumId w:val="7"/>
  </w:num>
  <w:num w:numId="8" w16cid:durableId="8315314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62AE"/>
    <w:rsid w:val="00011FEA"/>
    <w:rsid w:val="000E184E"/>
    <w:rsid w:val="001673E7"/>
    <w:rsid w:val="001B0860"/>
    <w:rsid w:val="002E2BC4"/>
    <w:rsid w:val="0034424A"/>
    <w:rsid w:val="003A1583"/>
    <w:rsid w:val="003E0126"/>
    <w:rsid w:val="005C25E8"/>
    <w:rsid w:val="005D448F"/>
    <w:rsid w:val="007816AE"/>
    <w:rsid w:val="008762AE"/>
    <w:rsid w:val="009323C6"/>
    <w:rsid w:val="00965B42"/>
    <w:rsid w:val="00974A25"/>
    <w:rsid w:val="00B278CC"/>
    <w:rsid w:val="00BC256F"/>
    <w:rsid w:val="00E472AF"/>
    <w:rsid w:val="00ED43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89325"/>
  <w15:docId w15:val="{28EAA9C2-B069-F342-9E4A-423CD7462C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 w:type="paragraph" w:styleId="Sinespaciado">
    <w:name w:val="No Spacing"/>
    <w:qFormat/>
    <w:rPr>
      <w:rFonts w:eastAsia="SimSun"/>
      <w:sz w:val="21"/>
    </w:rPr>
  </w:style>
  <w:style w:type="character" w:styleId="Mencinsinresolver">
    <w:name w:val="Unresolved Mention"/>
    <w:basedOn w:val="Fuentedeprrafopredeter"/>
    <w:uiPriority w:val="99"/>
    <w:semiHidden/>
    <w:unhideWhenUsed/>
    <w:rsid w:val="001B08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kdiaz@supremaconstructor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U/rY2TsiHcIiEERnWgVPclPDYw==">CgMxLjAyDmgua2tnMXZ0NHExZzh2Mg5oLjYzdTl4em1rcXp2czIOaC50emlpYjhtanU5NDgyDmgudm1xNWpsc3lsY2poMgloLjN6bnlzaDcyDmguMWpkODBleW14aTYxMg5oLjRtNHE2YjF0amd2ZzIOaC5iOGtvcnB5cDBoankyDmguZzBjazZtbnRtMXo5OAByITFaaDAybTl1a0pfYTVzQlVaZ1FXN3FkekpYaHZxaWhTZg==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2714</Words>
  <Characters>14933</Characters>
  <Application>Microsoft Office Word</Application>
  <DocSecurity>0</DocSecurity>
  <Lines>124</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2026-03-04T22:05:00Z</dcterms:created>
  <dcterms:modified xsi:type="dcterms:W3CDTF">2026-03-04T22:05:00Z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d4494e3e3dd04deb84898a9835dfd124</vt:lpwstr>
  </property>
</Properties>
</file>